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rPr>
          <w:rFonts w:hint="default" w:ascii="黑体" w:hAnsi="黑体" w:eastAsia="黑体" w:cs="黑体"/>
        </w:rPr>
      </w:pPr>
      <w:bookmarkStart w:id="1" w:name="_GoBack"/>
      <w:r>
        <w:rPr>
          <w:rFonts w:ascii="黑体" w:hAnsi="黑体" w:eastAsia="黑体" w:cs="黑体"/>
        </w:rPr>
        <w:t>附件2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普通高等学校学历继续教育人才培养方案</w:t>
      </w:r>
    </w:p>
    <w:p>
      <w:pPr>
        <w:pStyle w:val="2"/>
        <w:bidi w:val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编制工作指南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坚持立德树人、育人为本，加强和改进思想政治教育，推进思政课和课程思政建设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（一）专业基本信息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专业名称、专业代码严格按照现行《普通高等学校本科专业目录》《职业教育专业目录》执行，并标注办学层次。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（二）培养目标与人才规格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结合学校办学定位和专业特色，科学合理确定符合经济社会发展需求的专业培养目标和培养规格，明确学生应达到的知识、能力和素质要求。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（三）修业年限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高起专和专升本最低修业年限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2.5年</w:t>
      </w:r>
      <w:r>
        <w:rPr>
          <w:rFonts w:hint="eastAsia" w:ascii="仿宋" w:hAnsi="仿宋" w:eastAsia="仿宋" w:cs="仿宋"/>
          <w:sz w:val="28"/>
          <w:szCs w:val="28"/>
        </w:rPr>
        <w:t>，最高修业年限不超过5年；高起本最低修业年限5年，最高修业年限不超过8年。高校可按上述要求，具体确定本校各专业修业年限。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（四）课程设置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课程设置一般分为公共基础课、专业课、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职业能力拓展课</w:t>
      </w:r>
      <w:r>
        <w:rPr>
          <w:rFonts w:hint="eastAsia" w:ascii="仿宋" w:hAnsi="仿宋" w:eastAsia="仿宋" w:cs="仿宋"/>
          <w:sz w:val="28"/>
          <w:szCs w:val="28"/>
        </w:rPr>
        <w:t>，高校也可根据实际情况自行确定课程分类。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公共基础课。按照国家有关规定开足开齐思想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实验实训</w:t>
      </w:r>
      <w:r>
        <w:rPr>
          <w:rFonts w:hint="eastAsia" w:ascii="仿宋" w:hAnsi="仿宋" w:eastAsia="仿宋" w:cs="仿宋"/>
          <w:sz w:val="28"/>
          <w:szCs w:val="28"/>
        </w:rPr>
        <w:t>、毕业论文（设计）以及实验实习等环节要求。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职业能力拓展课。学校可根据实际情况，结合学生的职业发展需求，选择开设部分职业素养或职业能力提升类课程。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专升本专业须结合专科课程体系要求，按照本科课程设置要求合理确定所开设课程和内容，确保相关课程的贯通衔接。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（五）教学形式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要结合学科专业特点和学生实际情况，采取灵活多样的形式实施教学。要合理确定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线上（含直播教学）</w:t>
      </w:r>
      <w:r>
        <w:rPr>
          <w:rFonts w:hint="eastAsia" w:ascii="仿宋" w:hAnsi="仿宋" w:eastAsia="仿宋" w:cs="仿宋"/>
          <w:sz w:val="28"/>
          <w:szCs w:val="28"/>
        </w:rPr>
        <w:t>与线下教学形式比例，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线下教学原则上不少于人才培养方案规定总学时的20%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（六）学时、学分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高起专、专升本总学时数原则上不低于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1600学时</w:t>
      </w:r>
      <w:r>
        <w:rPr>
          <w:rFonts w:hint="eastAsia" w:ascii="仿宋" w:hAnsi="仿宋" w:eastAsia="仿宋" w:cs="仿宋"/>
          <w:sz w:val="28"/>
          <w:szCs w:val="28"/>
        </w:rPr>
        <w:t>；高起本总学时数不低于3000学时。实行学分制的，一般以16—18学时计为1个学分。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（七）考核与毕业要求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课程考核要立足课程特点和基本要求，将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过程性考核（平时成绩）与终结性考核（期末考试）相结合</w:t>
      </w:r>
      <w:r>
        <w:rPr>
          <w:rFonts w:hint="eastAsia" w:ascii="仿宋" w:hAnsi="仿宋" w:eastAsia="仿宋" w:cs="仿宋"/>
          <w:sz w:val="28"/>
          <w:szCs w:val="28"/>
        </w:rPr>
        <w:t>。公共基础课和专业课的期末考试原则上应为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闭卷考试</w:t>
      </w:r>
      <w:r>
        <w:rPr>
          <w:rFonts w:hint="eastAsia" w:ascii="仿宋" w:hAnsi="仿宋" w:eastAsia="仿宋" w:cs="仿宋"/>
          <w:sz w:val="28"/>
          <w:szCs w:val="28"/>
        </w:rPr>
        <w:t>。课程期末考试成绩占总成绩比例原则上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不低于40%，不超过 80%</w:t>
      </w:r>
      <w:r>
        <w:rPr>
          <w:rFonts w:hint="eastAsia" w:ascii="仿宋" w:hAnsi="仿宋" w:eastAsia="仿宋" w:cs="仿宋"/>
          <w:sz w:val="28"/>
          <w:szCs w:val="28"/>
        </w:rPr>
        <w:t>。应参照本校全日制学生毕业要求，结合成人在职学习特点等合理确定毕业要求。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本科专业还应明确该学士学位授予条件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（八）教学进程安排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（九）教学实施保障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主要包括教材选用、师资队伍、教学及实验实训条件、数字化资源、质量管理、经费保障等方面。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三、编制程序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专业人才培养方案制（修）订工作应按照以下基本程序进行。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（一）规划与设计。</w:t>
      </w:r>
      <w:r>
        <w:rPr>
          <w:rFonts w:hint="eastAsia" w:ascii="仿宋" w:hAnsi="仿宋" w:eastAsia="仿宋" w:cs="仿宋"/>
          <w:sz w:val="28"/>
          <w:szCs w:val="28"/>
        </w:rPr>
        <w:t>学校根据国家高等学历继续教育专业设置和办学基本要求，结合本校发展规划与特色优势，部署开展各专业人才培养方案制订工作。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（二）调研与分析。</w:t>
      </w:r>
      <w:r>
        <w:rPr>
          <w:rFonts w:hint="eastAsia" w:ascii="仿宋" w:hAnsi="仿宋" w:eastAsia="仿宋" w:cs="仿宋"/>
          <w:sz w:val="28"/>
          <w:szCs w:val="28"/>
        </w:rPr>
        <w:t>学校组织专家深入调研，分析行业企业和学习者对专业人才培养的需求，提出专业人才培养方案的调研分析报告。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（三）起草与审定。</w:t>
      </w:r>
      <w:r>
        <w:rPr>
          <w:rFonts w:hint="eastAsia" w:ascii="仿宋" w:hAnsi="仿宋" w:eastAsia="仿宋" w:cs="仿宋"/>
          <w:sz w:val="28"/>
          <w:szCs w:val="28"/>
        </w:rPr>
        <w:t>学校应分专业组织起草人才培养方案，组织专家进行论证，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提交学校学术（教学）委员会审定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（四）发布与更新。</w:t>
      </w:r>
      <w:r>
        <w:rPr>
          <w:rFonts w:hint="eastAsia" w:ascii="仿宋" w:hAnsi="仿宋" w:eastAsia="仿宋" w:cs="仿宋"/>
          <w:sz w:val="28"/>
          <w:szCs w:val="28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成人高等学校、开放大学举办的高等学历继续教育参照本指南执行。</w:t>
      </w:r>
    </w:p>
    <w:p>
      <w:pPr>
        <w:pStyle w:val="2"/>
        <w:ind w:left="0" w:leftChars="0" w:firstLine="0" w:firstLineChars="0"/>
        <w:rPr>
          <w:rFonts w:ascii="黑体" w:hAnsi="黑体" w:eastAsia="黑体" w:cs="黑体"/>
          <w:bCs/>
          <w:sz w:val="28"/>
          <w:szCs w:val="28"/>
        </w:rPr>
      </w:pPr>
    </w:p>
    <w:p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>
      <w:pPr>
        <w:pStyle w:val="2"/>
        <w:rPr>
          <w:rFonts w:ascii="Times New Roman" w:hAnsi="宋体"/>
          <w:b/>
        </w:rPr>
      </w:pPr>
    </w:p>
    <w:p>
      <w:pPr>
        <w:pStyle w:val="2"/>
        <w:rPr>
          <w:rFonts w:ascii="Times New Roman" w:hAnsi="宋体"/>
          <w:b/>
        </w:rPr>
      </w:pPr>
    </w:p>
    <w:p>
      <w:pPr>
        <w:pStyle w:val="2"/>
        <w:rPr>
          <w:rFonts w:ascii="Times New Roman" w:hAnsi="宋体"/>
          <w:b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pStyle w:val="2"/>
        <w:ind w:firstLine="400"/>
      </w:pP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高起专（专升本）专业教学进程表参考样式</w:t>
      </w:r>
    </w:p>
    <w:tbl>
      <w:tblPr>
        <w:tblStyle w:val="7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hint="eastAsia" w:ascii="Times New Roman" w:hAnsi="宋体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ind w:firstLine="400"/>
      </w:pPr>
    </w:p>
    <w:p>
      <w:pPr>
        <w:widowControl/>
        <w:numPr>
          <w:ilvl w:val="255"/>
          <w:numId w:val="0"/>
        </w:numPr>
        <w:spacing w:line="560" w:lineRule="exact"/>
        <w:ind w:firstLine="211" w:firstLineChars="100"/>
        <w:rPr>
          <w:rFonts w:ascii="Times New Roman" w:hAnsi="宋体" w:eastAsia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pStyle w:val="2"/>
        <w:ind w:firstLine="0" w:firstLineChars="0"/>
        <w:rPr>
          <w:rFonts w:hAnsi="宋体"/>
          <w:bCs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62162C-1912-468C-A7E1-BBE264E591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C938F0-6A14-4B16-A282-5BF043D3FF03}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B05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0C8022-07BD-4F11-A38F-5AE3E6CACA3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B53E2A8-C2EE-4144-91E4-850B950346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2BC349A-A107-4A81-8CA3-78CA0C3CC1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E4D5A86-E28B-4C38-BF2F-CAF6D56730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OGM4MTcxM2ViZGQzNzczMGU0NDY1YWI2NTc4ZTUifQ=="/>
  </w:docVars>
  <w:rsids>
    <w:rsidRoot w:val="610722B5"/>
    <w:rsid w:val="0003790D"/>
    <w:rsid w:val="00217A4F"/>
    <w:rsid w:val="00374957"/>
    <w:rsid w:val="004105D6"/>
    <w:rsid w:val="00665C29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  <w:rsid w:val="7FE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A148C"/>
      <w:u w:val="singl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yperlink"/>
    <w:basedOn w:val="9"/>
    <w:qFormat/>
    <w:uiPriority w:val="0"/>
    <w:rPr>
      <w:color w:val="001BA0"/>
      <w:u w:val="single"/>
    </w:rPr>
  </w:style>
  <w:style w:type="character" w:styleId="14">
    <w:name w:val="HTML Cite"/>
    <w:basedOn w:val="9"/>
    <w:qFormat/>
    <w:uiPriority w:val="0"/>
    <w:rPr>
      <w:color w:val="006D21"/>
    </w:rPr>
  </w:style>
  <w:style w:type="paragraph" w:customStyle="1" w:styleId="15">
    <w:name w:val="p1"/>
    <w:basedOn w:val="1"/>
    <w:qFormat/>
    <w:uiPriority w:val="0"/>
    <w:pPr>
      <w:spacing w:line="560" w:lineRule="atLeas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6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 w:cs="Times New Roman"/>
      <w:kern w:val="0"/>
      <w:sz w:val="40"/>
      <w:szCs w:val="40"/>
    </w:rPr>
  </w:style>
  <w:style w:type="paragraph" w:customStyle="1" w:styleId="17">
    <w:name w:val="p4"/>
    <w:basedOn w:val="1"/>
    <w:qFormat/>
    <w:uiPriority w:val="0"/>
    <w:pPr>
      <w:spacing w:line="560" w:lineRule="atLeast"/>
    </w:pPr>
    <w:rPr>
      <w:rFonts w:ascii="Helvetica" w:hAnsi="Helvetica" w:eastAsia="Helvetica" w:cs="Times New Roman"/>
      <w:kern w:val="0"/>
      <w:sz w:val="32"/>
      <w:szCs w:val="32"/>
    </w:rPr>
  </w:style>
  <w:style w:type="paragraph" w:customStyle="1" w:styleId="18">
    <w:name w:val="p5"/>
    <w:basedOn w:val="1"/>
    <w:qFormat/>
    <w:uiPriority w:val="0"/>
    <w:pPr>
      <w:spacing w:line="560" w:lineRule="atLeast"/>
      <w:ind w:firstLine="640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9">
    <w:name w:val="p6"/>
    <w:basedOn w:val="1"/>
    <w:qFormat/>
    <w:uiPriority w:val="0"/>
    <w:pPr>
      <w:spacing w:line="560" w:lineRule="atLeast"/>
      <w:ind w:firstLine="642"/>
    </w:pPr>
    <w:rPr>
      <w:rFonts w:ascii="pingfang sc" w:hAnsi="pingfang sc" w:eastAsia="pingfang sc" w:cs="Times New Roman"/>
      <w:kern w:val="0"/>
      <w:sz w:val="32"/>
      <w:szCs w:val="32"/>
    </w:rPr>
  </w:style>
  <w:style w:type="character" w:customStyle="1" w:styleId="20">
    <w:name w:val="s2"/>
    <w:basedOn w:val="9"/>
    <w:qFormat/>
    <w:uiPriority w:val="0"/>
    <w:rPr>
      <w:rFonts w:hint="eastAsia" w:ascii="pingfang sc" w:hAnsi="pingfang sc" w:eastAsia="pingfang sc" w:cs="pingfang sc"/>
      <w:sz w:val="21"/>
      <w:szCs w:val="21"/>
    </w:rPr>
  </w:style>
  <w:style w:type="paragraph" w:customStyle="1" w:styleId="21">
    <w:name w:val="p7"/>
    <w:basedOn w:val="1"/>
    <w:qFormat/>
    <w:uiPriority w:val="0"/>
    <w:pPr>
      <w:spacing w:line="560" w:lineRule="atLeast"/>
      <w:ind w:firstLine="640"/>
      <w:jc w:val="lef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character" w:customStyle="1" w:styleId="22">
    <w:name w:val="s1"/>
    <w:basedOn w:val="9"/>
    <w:qFormat/>
    <w:uiPriority w:val="0"/>
    <w:rPr>
      <w:rFonts w:hint="default" w:ascii="Helvetica" w:hAnsi="Helvetica" w:eastAsia="Helvetica" w:cs="Helvetica"/>
      <w:sz w:val="32"/>
      <w:szCs w:val="32"/>
    </w:rPr>
  </w:style>
  <w:style w:type="character" w:customStyle="1" w:styleId="23">
    <w:name w:val="c-icon28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hover26"/>
    <w:basedOn w:val="9"/>
    <w:qFormat/>
    <w:uiPriority w:val="0"/>
    <w:rPr>
      <w:color w:val="315EFB"/>
    </w:rPr>
  </w:style>
  <w:style w:type="character" w:customStyle="1" w:styleId="26">
    <w:name w:val="content-right_8zs401"/>
    <w:basedOn w:val="9"/>
    <w:qFormat/>
    <w:uiPriority w:val="0"/>
  </w:style>
  <w:style w:type="character" w:customStyle="1" w:styleId="27">
    <w:name w:val="hover20"/>
    <w:basedOn w:val="9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486</Words>
  <Characters>2771</Characters>
  <Lines>23</Lines>
  <Paragraphs>6</Paragraphs>
  <TotalTime>17</TotalTime>
  <ScaleCrop>false</ScaleCrop>
  <LinksUpToDate>false</LinksUpToDate>
  <CharactersWithSpaces>3251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2022-08-16T05:45:00Z</dcterms:created>
  <dc:creator>ZHANGLEI</dc:creator>
  <cp:lastModifiedBy>董可青</cp:lastModifiedBy>
  <cp:lastPrinted>2022-08-23T02:10:00Z</cp:lastPrinted>
  <dcterms:modified xsi:type="dcterms:W3CDTF">2022-09-06T03:03:46Z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2861F128113047E49684B4D47D73FD97</vt:lpwstr>
  </property>
</Properties>
</file>