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52B7F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eastAsia="zh-CN"/>
        </w:rPr>
        <w:t>游戏视效艺术设计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微专业招生简章</w:t>
      </w:r>
    </w:p>
    <w:p w14:paraId="3D3D461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01DD1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游戏视效艺术设计微专业面向游戏特效设计岗位，培养具备国际视野、艺术素养与工程思维的高层次应用型专门人才。依托校企深度融合机制，引入行业一线技术总监授课，将前沿研发流程、技术标准与真实项目案例植入教学全过程，实现专业知识与产业需求的无缝对接。通过项目实训与岗位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实践</w:t>
      </w:r>
      <w:r>
        <w:rPr>
          <w:rFonts w:hint="eastAsia" w:ascii="仿宋" w:hAnsi="仿宋" w:eastAsia="仿宋" w:cs="仿宋"/>
          <w:bCs/>
          <w:sz w:val="28"/>
          <w:szCs w:val="28"/>
        </w:rPr>
        <w:t>，学生毕业即具备直接上岗的专业竞争力，达成高质量就业，为游戏及数字创意产业持续输送具有创新力与引领力的卓越视效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艺术设计</w:t>
      </w:r>
      <w:r>
        <w:rPr>
          <w:rFonts w:hint="eastAsia" w:ascii="仿宋" w:hAnsi="仿宋" w:eastAsia="仿宋" w:cs="仿宋"/>
          <w:bCs/>
          <w:sz w:val="28"/>
          <w:szCs w:val="28"/>
        </w:rPr>
        <w:t>人才。</w:t>
      </w:r>
    </w:p>
    <w:p w14:paraId="1B67771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1C3BA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Cs/>
          <w:sz w:val="30"/>
          <w:szCs w:val="30"/>
        </w:rPr>
        <w:t>招生对象：</w:t>
      </w:r>
      <w:r>
        <w:rPr>
          <w:rFonts w:hint="eastAsia" w:ascii="仿宋" w:hAnsi="仿宋" w:eastAsia="仿宋" w:cs="仿宋"/>
          <w:sz w:val="28"/>
          <w:szCs w:val="28"/>
        </w:rPr>
        <w:t>本专业面向校内大二、大三本科生招生，主要针对数字媒体艺术、视觉传达设计等艺术设计类相关专业学生。其他专业对游戏设计方向有浓厚兴趣且具备一定美术基础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的学生均可</w:t>
      </w:r>
      <w:r>
        <w:rPr>
          <w:rFonts w:hint="eastAsia" w:ascii="仿宋" w:hAnsi="仿宋" w:eastAsia="仿宋" w:cs="仿宋"/>
          <w:sz w:val="28"/>
          <w:szCs w:val="28"/>
        </w:rPr>
        <w:t>报名。申请者需对游戏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艺术</w:t>
      </w:r>
      <w:r>
        <w:rPr>
          <w:rFonts w:hint="eastAsia" w:ascii="仿宋" w:hAnsi="仿宋" w:eastAsia="仿宋" w:cs="仿宋"/>
          <w:sz w:val="28"/>
          <w:szCs w:val="28"/>
        </w:rPr>
        <w:t>设计抱有强烈热情，成绩优良，并且展现出较强的学习能力、实践能力和创新能力。</w:t>
      </w:r>
    </w:p>
    <w:p w14:paraId="4589D6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28"/>
          <w:szCs w:val="28"/>
        </w:rPr>
        <w:t>招生计划：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30人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 w14:paraId="3657561A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5"/>
        <w:tblW w:w="85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426"/>
        <w:gridCol w:w="567"/>
        <w:gridCol w:w="708"/>
        <w:gridCol w:w="709"/>
        <w:gridCol w:w="852"/>
        <w:gridCol w:w="1418"/>
        <w:gridCol w:w="1592"/>
      </w:tblGrid>
      <w:tr w14:paraId="06DC4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F362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课  程  名  称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A31B33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9F1C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总学时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E79E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总学时分配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615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考核方式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CCE99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开设学期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B437C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上课方式</w:t>
            </w:r>
          </w:p>
        </w:tc>
      </w:tr>
      <w:tr w14:paraId="5E2C0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B203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643E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5302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02494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3B37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CA76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A58E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5822A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B685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C402D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21E53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6434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理论教学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ACC3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实验（实践）教学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8A240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9755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71718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2F9C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9703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游戏视效基础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9DF0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CCC8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558F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3D49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39BD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8640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2025-2026-1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B19C3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线上线下混合</w:t>
            </w:r>
          </w:p>
        </w:tc>
      </w:tr>
      <w:tr w14:paraId="1CDA5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6932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功能特效设计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1A189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72A0F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1F1D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D25C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AAB5C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242AE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2025-2026-1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8C61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线上线下混合</w:t>
            </w:r>
          </w:p>
        </w:tc>
      </w:tr>
      <w:tr w14:paraId="0B69F0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F4D8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特效结构与光影空间设计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E864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CF9D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A44E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E2F8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4DA6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D11B9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2025-2026-1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4AFB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线上线下混合</w:t>
            </w:r>
          </w:p>
        </w:tc>
      </w:tr>
      <w:tr w14:paraId="40C2C4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CB54F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物理视效设计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4D51E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2527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068E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49C0D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96E9B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B0C1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2025-2026-2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0436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线上线下混合</w:t>
            </w:r>
          </w:p>
        </w:tc>
      </w:tr>
      <w:tr w14:paraId="2207C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EAE4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游戏视效设计与开发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2A355A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7752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F9149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9834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DA66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FD91F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2025-2026-2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61DC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线上线下混合</w:t>
            </w:r>
          </w:p>
        </w:tc>
      </w:tr>
      <w:tr w14:paraId="54FEA7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F59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企业实践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D664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D79867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791D6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054F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F902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9F9E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2025-2026-2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489D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线下</w:t>
            </w:r>
          </w:p>
        </w:tc>
      </w:tr>
      <w:tr w14:paraId="266EFF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D16CD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4E2A5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52481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336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C8830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D87B2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336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492E3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FC0D4"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5E04548A"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549F3185">
      <w:pPr>
        <w:widowControl/>
        <w:adjustRightInd w:val="0"/>
        <w:snapToGrid w:val="0"/>
        <w:spacing w:line="64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1.报名方法：扫码进入微专业招生群(已在群里建在线文档让学生填写)。</w:t>
      </w:r>
    </w:p>
    <w:p w14:paraId="41FB5DE0">
      <w:pPr>
        <w:widowControl/>
        <w:adjustRightInd w:val="0"/>
        <w:snapToGrid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2945765" cy="3101975"/>
            <wp:effectExtent l="0" t="0" r="635" b="9525"/>
            <wp:docPr id="2" name="图片 2" descr="qrcode_1755856632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code_1755856632078"/>
                    <pic:cNvPicPr>
                      <a:picLocks noChangeAspect="1"/>
                    </pic:cNvPicPr>
                  </pic:nvPicPr>
                  <pic:blipFill>
                    <a:blip r:embed="rId4"/>
                    <a:srcRect t="15408" b="25297"/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801A4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4E37FA58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</w:t>
      </w:r>
    </w:p>
    <w:p w14:paraId="6168A6D2">
      <w:pPr>
        <w:widowControl/>
        <w:adjustRightInd w:val="0"/>
        <w:snapToGrid w:val="0"/>
        <w:spacing w:line="500" w:lineRule="exact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安老师：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15373677158</w:t>
      </w:r>
    </w:p>
    <w:p w14:paraId="50D9ED72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招生咨询QQ群:1057823476</w:t>
      </w:r>
    </w:p>
    <w:p w14:paraId="4F56F648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2.选拔方式：</w:t>
      </w:r>
    </w:p>
    <w:p w14:paraId="1910256C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t>学生须学有余力，对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游戏艺术设计感兴趣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，无任何未解除的违纪处分。资格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审核后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，择优录取。</w:t>
      </w:r>
    </w:p>
    <w:p w14:paraId="011D79C6">
      <w:pPr>
        <w:widowControl/>
        <w:adjustRightInd w:val="0"/>
        <w:snapToGrid w:val="0"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3.录取名单在招生咨询群和学院网页同步公布。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35125"/>
    <w:rsid w:val="00065585"/>
    <w:rsid w:val="00074422"/>
    <w:rsid w:val="000A331B"/>
    <w:rsid w:val="000A57D6"/>
    <w:rsid w:val="000C311D"/>
    <w:rsid w:val="000C33C7"/>
    <w:rsid w:val="000E5826"/>
    <w:rsid w:val="000F4F5B"/>
    <w:rsid w:val="00103646"/>
    <w:rsid w:val="0014743D"/>
    <w:rsid w:val="0015506F"/>
    <w:rsid w:val="001671AC"/>
    <w:rsid w:val="001721A0"/>
    <w:rsid w:val="00187BCA"/>
    <w:rsid w:val="001D3620"/>
    <w:rsid w:val="001E5738"/>
    <w:rsid w:val="001E6FE3"/>
    <w:rsid w:val="001F7A8D"/>
    <w:rsid w:val="001F7DAF"/>
    <w:rsid w:val="0021397A"/>
    <w:rsid w:val="00217332"/>
    <w:rsid w:val="00222428"/>
    <w:rsid w:val="0023619C"/>
    <w:rsid w:val="00252E48"/>
    <w:rsid w:val="002545E1"/>
    <w:rsid w:val="00262536"/>
    <w:rsid w:val="00262944"/>
    <w:rsid w:val="0026437D"/>
    <w:rsid w:val="00293615"/>
    <w:rsid w:val="002D4C08"/>
    <w:rsid w:val="002E677E"/>
    <w:rsid w:val="002E7F5D"/>
    <w:rsid w:val="002F011B"/>
    <w:rsid w:val="00302AC6"/>
    <w:rsid w:val="00310508"/>
    <w:rsid w:val="00315143"/>
    <w:rsid w:val="00320674"/>
    <w:rsid w:val="00335A3D"/>
    <w:rsid w:val="003501A0"/>
    <w:rsid w:val="00375BD4"/>
    <w:rsid w:val="00382B7A"/>
    <w:rsid w:val="00394CF2"/>
    <w:rsid w:val="00397192"/>
    <w:rsid w:val="003D23A4"/>
    <w:rsid w:val="003F13CB"/>
    <w:rsid w:val="004077EA"/>
    <w:rsid w:val="00411286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636018"/>
    <w:rsid w:val="00677520"/>
    <w:rsid w:val="006A1B1C"/>
    <w:rsid w:val="006A45BB"/>
    <w:rsid w:val="006C29F2"/>
    <w:rsid w:val="006C6F36"/>
    <w:rsid w:val="006D6C1D"/>
    <w:rsid w:val="00714E7B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B16C2"/>
    <w:rsid w:val="007B56C3"/>
    <w:rsid w:val="007C3913"/>
    <w:rsid w:val="007E50F2"/>
    <w:rsid w:val="007F166B"/>
    <w:rsid w:val="007F18EF"/>
    <w:rsid w:val="00803396"/>
    <w:rsid w:val="00820F75"/>
    <w:rsid w:val="0083398D"/>
    <w:rsid w:val="008347FB"/>
    <w:rsid w:val="00835942"/>
    <w:rsid w:val="00856D9D"/>
    <w:rsid w:val="00857FFC"/>
    <w:rsid w:val="00860B93"/>
    <w:rsid w:val="00870695"/>
    <w:rsid w:val="00872632"/>
    <w:rsid w:val="008A04AB"/>
    <w:rsid w:val="008C24F6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81709"/>
    <w:rsid w:val="009A4152"/>
    <w:rsid w:val="009B6788"/>
    <w:rsid w:val="009D3925"/>
    <w:rsid w:val="009D485F"/>
    <w:rsid w:val="00A23E6A"/>
    <w:rsid w:val="00A465E9"/>
    <w:rsid w:val="00A51C4F"/>
    <w:rsid w:val="00A527D2"/>
    <w:rsid w:val="00A53F43"/>
    <w:rsid w:val="00A569A5"/>
    <w:rsid w:val="00A72B72"/>
    <w:rsid w:val="00A73D8E"/>
    <w:rsid w:val="00A759D5"/>
    <w:rsid w:val="00AA1AB8"/>
    <w:rsid w:val="00AD0AE7"/>
    <w:rsid w:val="00AD2135"/>
    <w:rsid w:val="00AD2AC2"/>
    <w:rsid w:val="00B079EB"/>
    <w:rsid w:val="00B1471B"/>
    <w:rsid w:val="00B247E7"/>
    <w:rsid w:val="00B60FD4"/>
    <w:rsid w:val="00B93493"/>
    <w:rsid w:val="00B97225"/>
    <w:rsid w:val="00BD1494"/>
    <w:rsid w:val="00BD56C4"/>
    <w:rsid w:val="00BF1BAD"/>
    <w:rsid w:val="00C6198A"/>
    <w:rsid w:val="00C724FF"/>
    <w:rsid w:val="00C77CED"/>
    <w:rsid w:val="00C82C4A"/>
    <w:rsid w:val="00CA17D1"/>
    <w:rsid w:val="00CC21AA"/>
    <w:rsid w:val="00CC3F4F"/>
    <w:rsid w:val="00CC4D57"/>
    <w:rsid w:val="00CD10FC"/>
    <w:rsid w:val="00CE1A64"/>
    <w:rsid w:val="00CE2C09"/>
    <w:rsid w:val="00D0237B"/>
    <w:rsid w:val="00D046F2"/>
    <w:rsid w:val="00D0795C"/>
    <w:rsid w:val="00D12A47"/>
    <w:rsid w:val="00D3211B"/>
    <w:rsid w:val="00D35A12"/>
    <w:rsid w:val="00D35FFE"/>
    <w:rsid w:val="00D45CB7"/>
    <w:rsid w:val="00D529B2"/>
    <w:rsid w:val="00D64BFA"/>
    <w:rsid w:val="00D85571"/>
    <w:rsid w:val="00DD0BF8"/>
    <w:rsid w:val="00DD7364"/>
    <w:rsid w:val="00DE1E34"/>
    <w:rsid w:val="00DF4576"/>
    <w:rsid w:val="00E12953"/>
    <w:rsid w:val="00E135FA"/>
    <w:rsid w:val="00E76CDF"/>
    <w:rsid w:val="00EB0B95"/>
    <w:rsid w:val="00EB59D0"/>
    <w:rsid w:val="00EC233C"/>
    <w:rsid w:val="00EC6A8C"/>
    <w:rsid w:val="00EE03AB"/>
    <w:rsid w:val="00EE249F"/>
    <w:rsid w:val="00EE6CC8"/>
    <w:rsid w:val="00EF4C97"/>
    <w:rsid w:val="00F107F4"/>
    <w:rsid w:val="00F15B0C"/>
    <w:rsid w:val="00F15BEF"/>
    <w:rsid w:val="00F50C8D"/>
    <w:rsid w:val="00F70B39"/>
    <w:rsid w:val="00F76222"/>
    <w:rsid w:val="00F9350F"/>
    <w:rsid w:val="00FB1E9E"/>
    <w:rsid w:val="00FB2A28"/>
    <w:rsid w:val="00FC25C4"/>
    <w:rsid w:val="03661DC6"/>
    <w:rsid w:val="04D2409E"/>
    <w:rsid w:val="061718BC"/>
    <w:rsid w:val="1939713B"/>
    <w:rsid w:val="297326A8"/>
    <w:rsid w:val="2D485B6F"/>
    <w:rsid w:val="344828F8"/>
    <w:rsid w:val="35C70BC5"/>
    <w:rsid w:val="362B4280"/>
    <w:rsid w:val="365D5590"/>
    <w:rsid w:val="382E13AF"/>
    <w:rsid w:val="3EEA0974"/>
    <w:rsid w:val="51AA7B8F"/>
    <w:rsid w:val="60FC393C"/>
    <w:rsid w:val="6B80414A"/>
    <w:rsid w:val="7663200A"/>
    <w:rsid w:val="77FC22D2"/>
    <w:rsid w:val="7F49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751</Words>
  <Characters>855</Characters>
  <Lines>8</Lines>
  <Paragraphs>2</Paragraphs>
  <TotalTime>4</TotalTime>
  <ScaleCrop>false</ScaleCrop>
  <LinksUpToDate>false</LinksUpToDate>
  <CharactersWithSpaces>885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2024-12-11T13:00:00Z</dcterms:created>
  <dc:creator>Sakura</dc:creator>
  <cp:lastModifiedBy>王杰</cp:lastModifiedBy>
  <dcterms:modified xsi:type="dcterms:W3CDTF">2025-09-05T02:41:43Z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eyJoZGlkIjoiMGM4YjU0NjVlYWMxNzA0OWYxMDE2NGFjNTQzOWViNTgiLCJ1c2VySWQiOiI0NTE1ODI2NDUifQ==</vt:lpwstr>
  </property>
  <property fmtid="{D5CDD505-2E9C-101B-9397-08002B2CF9AE}" pid="4" name="ICV">
    <vt:lpwstr>98782F6819674FDABABF9C84AC34820C_12</vt:lpwstr>
  </property>
</Properties>
</file>