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distribute"/>
        <w:rPr>
          <w:rFonts w:ascii="华文中宋" w:hAnsi="华文中宋" w:eastAsia="华文中宋"/>
          <w:b/>
          <w:color w:val="FF3300"/>
          <w:sz w:val="72"/>
          <w:szCs w:val="72"/>
        </w:rPr>
      </w:pPr>
      <w:bookmarkStart w:id="0" w:name="文件红头"/>
      <w:r>
        <w:rPr>
          <w:rFonts w:hint="eastAsia" w:ascii="华文中宋" w:hAnsi="华文中宋" w:eastAsia="华文中宋"/>
          <w:b/>
          <w:color w:val="FF3300"/>
          <w:sz w:val="72"/>
          <w:szCs w:val="72"/>
        </w:rPr>
        <w:t>福建理工大学教务处</w:t>
      </w:r>
    </w:p>
    <w:p>
      <w:pPr>
        <w:rPr>
          <w:rFonts w:ascii="Bookman Old Style" w:hAnsi="Bookman Old Style"/>
          <w:b/>
          <w:color w:val="FF0000"/>
          <w:spacing w:val="50"/>
          <w:w w:val="90"/>
          <w:sz w:val="100"/>
        </w:rPr>
      </w:pPr>
      <w:r>
        <w:rPr>
          <w:rFonts w:ascii="Bookman Old Style" w:hAnsi="Bookman Old Style"/>
          <w:b/>
          <w:color w:val="FF0000"/>
          <w:spacing w:val="50"/>
          <w:w w:val="90"/>
          <w:sz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175895</wp:posOffset>
                </wp:positionV>
                <wp:extent cx="5590540" cy="1270"/>
                <wp:effectExtent l="0" t="19050" r="2540" b="2540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5.15pt;margin-top:13.85pt;height:0.1pt;width:440.2pt;z-index:251659264;mso-width-relative:page;mso-height-relative:page;" filled="f" stroked="t" coordsize="21600,21600" o:gfxdata="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82Ef1gAAAAkBAAAPAAAAAAAAAAEAIAAAACIAAABk&#10;cnMvZG93bnJldi54bWxQSwECFAAUAAAACACHTuJAW3awJkECAADFBAAADgAAAAAAAAABACAAAAAl&#10;AQAAZHJzL2Uyb0RvYy54bWxQSwUGAAAAAAYABgBZAQAA2AUAAAAA&#10;" path="m0,0l21600,21600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pStyle w:val="2"/>
        <w:spacing w:before="263" w:line="222" w:lineRule="auto"/>
        <w:jc w:val="center"/>
        <w:outlineLvl w:val="0"/>
        <w:rPr>
          <w:rFonts w:hint="eastAsia" w:ascii="黑体" w:hAnsi="黑体" w:eastAsia="黑体" w:cs="黑体"/>
          <w:b/>
          <w:bCs/>
          <w:spacing w:val="3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38"/>
          <w:sz w:val="36"/>
          <w:szCs w:val="36"/>
        </w:rPr>
        <w:t>关于校外人员旁听(进修)学分收费标准的</w:t>
      </w:r>
      <w:r>
        <w:rPr>
          <w:rFonts w:hint="eastAsia" w:ascii="黑体" w:hAnsi="黑体" w:eastAsia="黑体" w:cs="黑体"/>
          <w:b/>
          <w:bCs/>
          <w:spacing w:val="38"/>
          <w:sz w:val="36"/>
          <w:szCs w:val="36"/>
          <w:lang w:eastAsia="zh-CN"/>
        </w:rPr>
        <w:t>公示</w:t>
      </w:r>
    </w:p>
    <w:p>
      <w:pPr>
        <w:pStyle w:val="2"/>
        <w:spacing w:before="263" w:line="222" w:lineRule="auto"/>
        <w:ind w:firstLine="1750" w:firstLineChars="400"/>
        <w:outlineLvl w:val="0"/>
        <w:rPr>
          <w:rFonts w:hint="eastAsia" w:ascii="黑体" w:hAnsi="黑体" w:eastAsia="黑体" w:cs="黑体"/>
          <w:b/>
          <w:bCs/>
          <w:spacing w:val="38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baseline"/>
        <w:rPr>
          <w:rFonts w:hint="eastAsia"/>
          <w:spacing w:val="5"/>
          <w:lang w:eastAsia="zh-CN"/>
        </w:rPr>
      </w:pPr>
      <w:r>
        <w:rPr>
          <w:spacing w:val="7"/>
        </w:rPr>
        <w:t>为优化教育资源分配，进</w:t>
      </w:r>
      <w:r>
        <w:rPr>
          <w:spacing w:val="6"/>
        </w:rPr>
        <w:t>一步提高我校非学历教育的质量和水平，发挥教育资</w:t>
      </w:r>
      <w:r>
        <w:rPr>
          <w:spacing w:val="5"/>
        </w:rPr>
        <w:t>源的最大效益，</w:t>
      </w:r>
      <w:r>
        <w:rPr>
          <w:spacing w:val="16"/>
        </w:rPr>
        <w:t>细化我校校外人员旁听(进修)收费管理，根据教金划拨金额及202</w:t>
      </w:r>
      <w:r>
        <w:rPr>
          <w:spacing w:val="5"/>
        </w:rPr>
        <w:t>2版本科培养方案学分情况进行学分成本测算，</w:t>
      </w:r>
      <w:r>
        <w:rPr>
          <w:rFonts w:hint="eastAsia"/>
          <w:spacing w:val="5"/>
          <w:lang w:eastAsia="zh-CN"/>
        </w:rPr>
        <w:t>经处务会研究决定，</w:t>
      </w:r>
      <w:r>
        <w:rPr>
          <w:spacing w:val="5"/>
        </w:rPr>
        <w:t>对校外人员旁听(进修)学分收费标准</w:t>
      </w:r>
      <w:r>
        <w:rPr>
          <w:rFonts w:hint="eastAsia"/>
          <w:spacing w:val="5"/>
          <w:lang w:eastAsia="zh-CN"/>
        </w:rPr>
        <w:t>进行调整如下：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baseline"/>
        <w:rPr>
          <w:spacing w:val="15"/>
        </w:rPr>
      </w:pPr>
      <w:r>
        <w:rPr>
          <w:rFonts w:hint="eastAsia"/>
          <w:spacing w:val="7"/>
          <w:lang w:val="en-US" w:eastAsia="zh-CN"/>
        </w:rPr>
        <w:t>1.</w:t>
      </w:r>
      <w:r>
        <w:rPr>
          <w:spacing w:val="7"/>
        </w:rPr>
        <w:t>校外</w:t>
      </w:r>
      <w:r>
        <w:rPr>
          <w:spacing w:val="6"/>
        </w:rPr>
        <w:t>社会人员</w:t>
      </w:r>
      <w:r>
        <w:rPr>
          <w:spacing w:val="26"/>
        </w:rPr>
        <w:t>旁听(进修)学分收费标准调整为420元/学分，外校在籍学生旁听</w:t>
      </w:r>
      <w:r>
        <w:rPr>
          <w:spacing w:val="27"/>
        </w:rPr>
        <w:t>(进修)学分收费标准调整为220元/学</w:t>
      </w:r>
      <w:r>
        <w:rPr>
          <w:spacing w:val="26"/>
        </w:rPr>
        <w:t>分，均不含校外实践差旅费</w:t>
      </w:r>
      <w:r>
        <w:rPr>
          <w:spacing w:val="15"/>
        </w:rPr>
        <w:t>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</w:pPr>
      <w:r>
        <w:rPr>
          <w:rFonts w:hint="eastAsia"/>
          <w:spacing w:val="15"/>
          <w:lang w:val="en-US" w:eastAsia="zh-CN"/>
        </w:rPr>
        <w:t>2.</w:t>
      </w:r>
      <w:r>
        <w:rPr>
          <w:spacing w:val="15"/>
        </w:rPr>
        <w:t>校外人员旁听(进修)有签协议且协议另有收费标准的，按协议</w:t>
      </w:r>
      <w:r>
        <w:rPr>
          <w:spacing w:val="-6"/>
        </w:rPr>
        <w:t>要求收费。</w:t>
      </w: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</w:pPr>
      <w:r>
        <w:rPr>
          <w:rFonts w:hint="eastAsia" w:ascii="仿宋" w:hAnsi="仿宋" w:eastAsia="仿宋" w:cs="仿宋"/>
          <w:sz w:val="30"/>
          <w:szCs w:val="30"/>
        </w:rPr>
        <w:t>现予公示。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</w:pP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202</w:t>
      </w:r>
      <w:r>
        <w:rPr>
          <w:rFonts w:ascii="仿宋" w:hAnsi="仿宋" w:eastAsia="仿宋" w:cs="仿宋"/>
          <w:sz w:val="32"/>
          <w:szCs w:val="32"/>
          <w:lang w:bidi="zh-CN"/>
        </w:rPr>
        <w:t>4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年</w:t>
      </w:r>
      <w:r>
        <w:rPr>
          <w:rFonts w:ascii="仿宋" w:hAnsi="仿宋" w:eastAsia="仿宋" w:cs="仿宋"/>
          <w:sz w:val="32"/>
          <w:szCs w:val="32"/>
          <w:lang w:bidi="zh-CN"/>
        </w:rPr>
        <w:t>1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12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日至202</w:t>
      </w:r>
      <w:r>
        <w:rPr>
          <w:rFonts w:ascii="仿宋" w:hAnsi="仿宋" w:eastAsia="仿宋" w:cs="仿宋"/>
          <w:sz w:val="32"/>
          <w:szCs w:val="32"/>
          <w:lang w:bidi="zh-CN"/>
        </w:rPr>
        <w:t>4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年</w:t>
      </w:r>
      <w:r>
        <w:rPr>
          <w:rFonts w:ascii="仿宋" w:hAnsi="仿宋" w:eastAsia="仿宋" w:cs="仿宋"/>
          <w:sz w:val="32"/>
          <w:szCs w:val="32"/>
          <w:lang w:bidi="zh-CN"/>
        </w:rPr>
        <w:t>1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16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监督电话：纪委（监察专员办）纪检监察室 0591-22869449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教务处 0591-22863405</w:t>
      </w:r>
    </w:p>
    <w:p>
      <w:pPr>
        <w:pStyle w:val="6"/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教 务 处</w:t>
      </w:r>
    </w:p>
    <w:p>
      <w:pPr>
        <w:tabs>
          <w:tab w:val="left" w:pos="7129"/>
        </w:tabs>
        <w:rPr>
          <w:rFonts w:hint="eastAsia" w:ascii="Arial" w:eastAsia="仿宋"/>
          <w:sz w:val="21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870" w:lineRule="exact"/>
        <w:ind w:firstLine="639"/>
        <w:rPr>
          <w:rFonts w:hint="eastAsia" w:eastAsia="仿宋"/>
          <w:sz w:val="25"/>
          <w:szCs w:val="25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</w:t>
      </w:r>
      <w:bookmarkStart w:id="1" w:name="_GoBack"/>
      <w:bookmarkEnd w:id="1"/>
    </w:p>
    <w:sectPr>
      <w:pgSz w:w="11920" w:h="16820"/>
      <w:pgMar w:top="1429" w:right="1394" w:bottom="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4YjU0NjVlYWMxNzA0OWYxMDE2NGFjNTQzOWViNTgifQ=="/>
  </w:docVars>
  <w:rsids>
    <w:rsidRoot w:val="00000000"/>
    <w:rsid w:val="04EF5663"/>
    <w:rsid w:val="0CA56C43"/>
    <w:rsid w:val="1B9A3CB5"/>
    <w:rsid w:val="1F73466E"/>
    <w:rsid w:val="7FB12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Text1I"/>
    <w:basedOn w:val="7"/>
    <w:qFormat/>
    <w:uiPriority w:val="0"/>
    <w:pPr>
      <w:ind w:firstLine="420"/>
      <w:jc w:val="both"/>
      <w:textAlignment w:val="baseline"/>
    </w:pPr>
    <w:rPr>
      <w:rFonts w:ascii="Calibri" w:hAnsi="Calibri" w:eastAsia="宋体"/>
      <w:kern w:val="2"/>
      <w:sz w:val="20"/>
      <w:szCs w:val="20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ascii="华文仿宋" w:hAnsi="华文仿宋" w:eastAsia="华文仿宋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2024-01-12T12:54:00Z</dcterms:created>
  <dc:creator>Kingsoft-PDF</dc:creator>
  <cp:lastModifiedBy>王杰</cp:lastModifiedBy>
  <dcterms:modified xsi:type="dcterms:W3CDTF">2024-01-12T07:27:48Z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2024-01-12T12:54:55Z</vt:filetime>
  </property>
  <property fmtid="{D5CDD505-2E9C-101B-9397-08002B2CF9AE}" pid="4" name="UsrData">
    <vt:lpwstr>65a0c61d83b9c4001f633e61wl</vt:lpwstr>
  </property>
  <property fmtid="{D5CDD505-2E9C-101B-9397-08002B2CF9AE}" pid="5" name="KSOProductBuildVer">
    <vt:lpwstr>2052-12.1.0.16120</vt:lpwstr>
  </property>
  <property fmtid="{D5CDD505-2E9C-101B-9397-08002B2CF9AE}" pid="6" name="ICV">
    <vt:lpwstr>1052E7DE30CB48D6B7A7045EB07A53F5_12</vt:lpwstr>
  </property>
</Properties>
</file>