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/>
        <w:jc w:val="center"/>
        <w:rPr>
          <w:rFonts w:ascii="仿宋" w:hAnsi="仿宋" w:eastAsia="仿宋" w:cs="仿宋"/>
          <w:b/>
          <w:bCs/>
          <w:sz w:val="36"/>
          <w:szCs w:val="36"/>
        </w:rPr>
      </w:pPr>
      <w:bookmarkStart w:id="0" w:name="文件标题"/>
      <w:r>
        <w:rPr>
          <w:rFonts w:hint="eastAsia" w:ascii="仿宋" w:hAnsi="仿宋" w:eastAsia="仿宋" w:cs="仿宋"/>
          <w:b/>
          <w:bCs/>
          <w:sz w:val="36"/>
          <w:szCs w:val="36"/>
        </w:rPr>
        <w:t>关于2023～2024学年第一学期考试情况的通报</w:t>
      </w:r>
      <w:bookmarkEnd w:id="0"/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 xml:space="preserve"> </w:t>
      </w:r>
    </w:p>
    <w:p>
      <w:pPr>
        <w:autoSpaceDE w:val="0"/>
        <w:adjustRightInd w:val="0"/>
        <w:snapToGrid w:val="0"/>
        <w:spacing w:line="52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各教学单位：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在各单位、各部门的共同努力下，202</w:t>
      </w:r>
      <w:r>
        <w:rPr>
          <w:rFonts w:hint="eastAsia" w:ascii="仿宋" w:hAnsi="仿宋" w:eastAsia="仿宋" w:cs="仿宋"/>
          <w:sz w:val="30"/>
          <w:szCs w:val="30"/>
        </w:rPr>
        <w:t>3</w:t>
      </w:r>
      <w:r>
        <w:rPr>
          <w:rFonts w:ascii="仿宋" w:hAnsi="仿宋" w:eastAsia="仿宋" w:cs="仿宋"/>
          <w:sz w:val="30"/>
          <w:szCs w:val="30"/>
        </w:rPr>
        <w:t>～202</w:t>
      </w:r>
      <w:r>
        <w:rPr>
          <w:rFonts w:hint="eastAsia" w:ascii="仿宋" w:hAnsi="仿宋" w:eastAsia="仿宋" w:cs="仿宋"/>
          <w:sz w:val="30"/>
          <w:szCs w:val="30"/>
        </w:rPr>
        <w:t>4</w:t>
      </w:r>
      <w:r>
        <w:rPr>
          <w:rFonts w:ascii="仿宋" w:hAnsi="仿宋" w:eastAsia="仿宋" w:cs="仿宋"/>
          <w:sz w:val="30"/>
          <w:szCs w:val="30"/>
        </w:rPr>
        <w:t>学年第</w:t>
      </w:r>
      <w:r>
        <w:rPr>
          <w:rFonts w:hint="eastAsia" w:ascii="仿宋" w:hAnsi="仿宋" w:eastAsia="仿宋" w:cs="仿宋"/>
          <w:sz w:val="30"/>
          <w:szCs w:val="30"/>
        </w:rPr>
        <w:t>一</w:t>
      </w:r>
      <w:r>
        <w:rPr>
          <w:rFonts w:ascii="仿宋" w:hAnsi="仿宋" w:eastAsia="仿宋" w:cs="仿宋"/>
          <w:sz w:val="30"/>
          <w:szCs w:val="30"/>
        </w:rPr>
        <w:t>学期考试工作圆满结束。为了更好地加强考试工作管理，严肃考风考纪,</w:t>
      </w:r>
      <w:r>
        <w:rPr>
          <w:rFonts w:hint="eastAsia" w:ascii="仿宋" w:hAnsi="仿宋" w:eastAsia="仿宋" w:cs="仿宋"/>
          <w:sz w:val="30"/>
          <w:szCs w:val="30"/>
        </w:rPr>
        <w:t>提高应用型人才培养质量</w:t>
      </w:r>
      <w:r>
        <w:rPr>
          <w:rFonts w:ascii="仿宋" w:hAnsi="仿宋" w:eastAsia="仿宋" w:cs="仿宋"/>
          <w:sz w:val="30"/>
          <w:szCs w:val="30"/>
        </w:rPr>
        <w:t>,现将考试情况通报如下：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一、总体情况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1.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巡考工作有序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成立了由校领导、学校督导组、相关职能部门组成的校级巡考工作组，对全校各考场的组织情况与考试秩序进行巡视督查，各教学单位也均安排相关人员对本单位的考试情况进行巡视督查。巡视人员通过监控视频和现场检查考场环境、考场安排、考试现场师生等情况，对考风考纪建设起到很好的促进作用。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2.</w:t>
      </w:r>
      <w:r>
        <w:rPr>
          <w:rFonts w:hint="eastAsia" w:ascii="仿宋" w:hAnsi="仿宋" w:eastAsia="仿宋" w:cs="仿宋"/>
          <w:b/>
          <w:sz w:val="30"/>
          <w:szCs w:val="30"/>
        </w:rPr>
        <w:t>考试组织严谨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各教学单位均能按学校要求做好考试组织管理工作，事先制定课程考核方案，组织监考教师进行监考培训，并及时通知学生考试相关事宜，考场安排规范合理。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3.考风考纪良好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考试总体情况良好，监考教师和学生均能自觉遵守考试管理规章制度，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绝大多数</w:t>
      </w:r>
      <w:r>
        <w:rPr>
          <w:rFonts w:hint="eastAsia" w:ascii="仿宋" w:hAnsi="仿宋" w:eastAsia="仿宋" w:cs="仿宋"/>
          <w:sz w:val="30"/>
          <w:szCs w:val="30"/>
        </w:rPr>
        <w:t>教师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能认真履行</w:t>
      </w:r>
      <w:r>
        <w:rPr>
          <w:rFonts w:hint="eastAsia" w:ascii="仿宋" w:hAnsi="仿宋" w:eastAsia="仿宋" w:cs="仿宋"/>
          <w:sz w:val="30"/>
          <w:szCs w:val="30"/>
        </w:rPr>
        <w:t>监考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职责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严格要求</w:t>
      </w:r>
      <w:r>
        <w:rPr>
          <w:rFonts w:hint="eastAsia" w:ascii="仿宋" w:hAnsi="仿宋" w:eastAsia="仿宋" w:cs="仿宋"/>
          <w:sz w:val="30"/>
          <w:szCs w:val="30"/>
        </w:rPr>
        <w:t>，学生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自觉遵守考场规则、</w:t>
      </w:r>
      <w:r>
        <w:rPr>
          <w:rFonts w:hint="eastAsia" w:ascii="仿宋" w:hAnsi="仿宋" w:eastAsia="仿宋" w:cs="仿宋"/>
          <w:sz w:val="30"/>
          <w:szCs w:val="30"/>
        </w:rPr>
        <w:t>认真考试，考试井然有序。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4.理论考试情况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本学期理论课程考试共有2623门次（其中期初补考752门次，重新学习145门次，期末考试1726门次），参加理论课程考试的学生共计135037人次，监考教师共计5276人次。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5.总体成绩情况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本学期参加理论课程和实践环节考核共18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487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人，不及格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3411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人，占总人数18.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%，比去年同期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0.51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个百分点；参加理论课程和实践环节考核共17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1777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人次，不及格56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人次，占总人次3.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%，比去年同期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减少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了0.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个百分点。不及格率达30%（含）以上的课程有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门次,比去年同期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44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门次（详见附件）。</w:t>
      </w:r>
      <w:bookmarkStart w:id="2" w:name="_GoBack"/>
      <w:bookmarkEnd w:id="2"/>
    </w:p>
    <w:p>
      <w:pPr>
        <w:spacing w:line="500" w:lineRule="exact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二、存在问题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1.教师监考方面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color w:val="FF0000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个别监考教师没有按照规定于开考前20分钟到达考场，还是要持续提醒教师严格遵守监考纪律，杜绝出现监考违纪现象。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2.学生参考方面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（1）个别学生考试迟到或缺考。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（2）存在个别学生未带有效证件参加考试的现象。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（3）本学期全校共有9人考试违纪作弊，其中机械学院1人，电气学院1人，材料学院4人，土木学院1人，城环学院1人，经贸学院1人。</w:t>
      </w:r>
    </w:p>
    <w:p>
      <w:pPr>
        <w:spacing w:line="50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三、改进措施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各教学单位应高度重视，持续加强监考教师培训，使全体监考教师（特别是新进教师）熟悉考试工作的相关规定，认真履行监考职责，并认真总结考试过程中的经验和不足，确保期末考试工作更加规范有序地进行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2.教务处、学工部和各教学单位等相关部门要加强互动，继续加大诚信考试宣传力度，注重日常考风考纪教育，形成良好的校风考风，尽可能减少学生考试违纪作弊现象的发生。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3.各教学单位要教育引导学生认真复习备考，充分发挥学生主体作用，遵守考场纪律和相关规定，如学生须携带有效证件（身份证或学生证）按时参加考试。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4.开课学院应重点关注不及格率超过30%的课程，要求任课教师认真分析不及格率过高的原因，加强教学方法和教学手段改革，教育学生认真学习，提高课堂教学质量和考试成绩。 </w:t>
      </w:r>
    </w:p>
    <w:p>
      <w:pPr>
        <w:spacing w:line="500" w:lineRule="exact"/>
        <w:ind w:left="1496" w:leftChars="284" w:hanging="900" w:hangingChars="300"/>
        <w:rPr>
          <w:rFonts w:ascii="仿宋" w:hAnsi="仿宋" w:eastAsia="仿宋" w:cs="仿宋"/>
          <w:sz w:val="30"/>
          <w:szCs w:val="30"/>
        </w:rPr>
      </w:pPr>
    </w:p>
    <w:p>
      <w:pPr>
        <w:spacing w:line="500" w:lineRule="exact"/>
        <w:ind w:left="1496" w:leftChars="284" w:hanging="900" w:hangingChars="3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附件：1.2023～2024学年第一学期考试情况统计表</w:t>
      </w:r>
    </w:p>
    <w:p>
      <w:pPr>
        <w:spacing w:line="500" w:lineRule="exact"/>
        <w:ind w:left="1491" w:leftChars="71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2.2023～2024学年第一学期不及格率达30%（含）以上</w:t>
      </w:r>
      <w:r>
        <w:rPr>
          <w:rFonts w:hint="eastAsia" w:ascii="仿宋" w:hAnsi="仿宋" w:eastAsia="仿宋"/>
          <w:sz w:val="30"/>
          <w:szCs w:val="30"/>
        </w:rPr>
        <w:t>的课程情况一览表</w:t>
      </w:r>
    </w:p>
    <w:p>
      <w:pPr>
        <w:spacing w:line="500" w:lineRule="exact"/>
        <w:ind w:firstLine="5700" w:firstLineChars="1900"/>
        <w:rPr>
          <w:rFonts w:ascii="仿宋_GB2312" w:hAnsi="仿宋_GB2312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</w:t>
      </w:r>
    </w:p>
    <w:p>
      <w:pPr>
        <w:spacing w:line="500" w:lineRule="exact"/>
        <w:ind w:firstLine="5400" w:firstLineChars="1800"/>
        <w:rPr>
          <w:rFonts w:ascii="仿宋" w:hAnsi="仿宋" w:eastAsia="仿宋"/>
          <w:sz w:val="30"/>
          <w:szCs w:val="30"/>
        </w:rPr>
      </w:pPr>
    </w:p>
    <w:p>
      <w:pPr>
        <w:spacing w:line="500" w:lineRule="exact"/>
        <w:ind w:firstLine="5400" w:firstLineChars="18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福建</w:t>
      </w:r>
      <w:r>
        <w:rPr>
          <w:rFonts w:hint="eastAsia" w:ascii="仿宋" w:hAnsi="仿宋" w:eastAsia="仿宋"/>
          <w:sz w:val="30"/>
          <w:szCs w:val="30"/>
        </w:rPr>
        <w:t>理工大学</w:t>
      </w:r>
      <w:r>
        <w:rPr>
          <w:rFonts w:ascii="仿宋" w:hAnsi="仿宋" w:eastAsia="仿宋"/>
          <w:sz w:val="30"/>
          <w:szCs w:val="30"/>
        </w:rPr>
        <w:t>教务处</w:t>
      </w:r>
    </w:p>
    <w:p>
      <w:pPr>
        <w:spacing w:line="500" w:lineRule="exact"/>
        <w:rPr>
          <w:rFonts w:ascii="仿宋_GB2312" w:hAnsi="仿宋_GB2312" w:eastAsia="仿宋_GB2312"/>
          <w:sz w:val="32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        2024年2月2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</w:rPr>
        <w:t>日</w:t>
      </w:r>
      <w:r>
        <w:rPr>
          <w:rFonts w:ascii="仿宋" w:hAnsi="仿宋" w:eastAsia="仿宋"/>
          <w:sz w:val="30"/>
          <w:szCs w:val="30"/>
        </w:rPr>
        <w:t xml:space="preserve"> </w:t>
      </w:r>
      <w:bookmarkStart w:id="1" w:name="签发日期"/>
      <w:bookmarkEnd w:id="1"/>
    </w:p>
    <w:p>
      <w:pPr>
        <w:autoSpaceDE w:val="0"/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autoSpaceDE w:val="0"/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autoSpaceDE w:val="0"/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 xml:space="preserve"> </w:t>
      </w: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>
      <w:pPr>
        <w:adjustRightInd w:val="0"/>
        <w:snapToGrid w:val="0"/>
        <w:spacing w:line="540" w:lineRule="exact"/>
        <w:rPr>
          <w:rFonts w:ascii="仿宋" w:hAnsi="仿宋" w:eastAsia="仿宋"/>
          <w:sz w:val="36"/>
          <w:szCs w:val="36"/>
        </w:rPr>
      </w:pPr>
    </w:p>
    <w:p/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1ZWU2M2U5ZTBhOTUyMzhhODg4YzA5M2I0YjI1MDYifQ=="/>
  </w:docVars>
  <w:rsids>
    <w:rsidRoot w:val="00430732"/>
    <w:rsid w:val="003418BA"/>
    <w:rsid w:val="00430732"/>
    <w:rsid w:val="005C0B38"/>
    <w:rsid w:val="00BF1BD3"/>
    <w:rsid w:val="00F14AD0"/>
    <w:rsid w:val="0B907043"/>
    <w:rsid w:val="0CE877F6"/>
    <w:rsid w:val="107D631C"/>
    <w:rsid w:val="11036B00"/>
    <w:rsid w:val="145A737F"/>
    <w:rsid w:val="189F1FF5"/>
    <w:rsid w:val="1F7057D9"/>
    <w:rsid w:val="233734AB"/>
    <w:rsid w:val="23614286"/>
    <w:rsid w:val="23B33DE6"/>
    <w:rsid w:val="2DA669AF"/>
    <w:rsid w:val="32A8495F"/>
    <w:rsid w:val="33837082"/>
    <w:rsid w:val="342310E4"/>
    <w:rsid w:val="3DA925D1"/>
    <w:rsid w:val="3E4522C0"/>
    <w:rsid w:val="40EC7E3A"/>
    <w:rsid w:val="428044FF"/>
    <w:rsid w:val="43741014"/>
    <w:rsid w:val="43774AB0"/>
    <w:rsid w:val="46841891"/>
    <w:rsid w:val="477F74B6"/>
    <w:rsid w:val="48A405ED"/>
    <w:rsid w:val="4ABB37CF"/>
    <w:rsid w:val="4B362FD5"/>
    <w:rsid w:val="4BD210FC"/>
    <w:rsid w:val="4DF40787"/>
    <w:rsid w:val="532A3478"/>
    <w:rsid w:val="58AA1BAD"/>
    <w:rsid w:val="642B3BC8"/>
    <w:rsid w:val="681C2B17"/>
    <w:rsid w:val="71C02BA4"/>
    <w:rsid w:val="72D316D9"/>
    <w:rsid w:val="76CA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page number"/>
    <w:basedOn w:val="6"/>
    <w:autoRedefine/>
    <w:qFormat/>
    <w:uiPriority w:val="0"/>
    <w:rPr>
      <w:rFonts w:ascii="Calibri" w:hAnsi="Calibri" w:eastAsia="宋体" w:cs="Times New Roman"/>
    </w:rPr>
  </w:style>
  <w:style w:type="character" w:styleId="9">
    <w:name w:val="Emphasis"/>
    <w:basedOn w:val="6"/>
    <w:autoRedefine/>
    <w:qFormat/>
    <w:uiPriority w:val="0"/>
    <w:rPr>
      <w:i/>
    </w:rPr>
  </w:style>
  <w:style w:type="character" w:customStyle="1" w:styleId="10">
    <w:name w:val="fontstyle01"/>
    <w:basedOn w:val="6"/>
    <w:autoRedefine/>
    <w:qFormat/>
    <w:uiPriority w:val="0"/>
    <w:rPr>
      <w:rFonts w:ascii="宋体" w:hAnsi="宋体" w:eastAsia="宋体" w:cs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213</Words>
  <Characters>1219</Characters>
  <Lines>10</Lines>
  <Paragraphs>2</Paragraphs>
  <TotalTime>517</TotalTime>
  <ScaleCrop>false</ScaleCrop>
  <LinksUpToDate>false</LinksUpToDate>
  <CharactersWithSpaces>1430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2023-09-02T12:37:00Z</dcterms:created>
  <dc:creator>Administrator</dc:creator>
  <cp:lastModifiedBy>Administrator</cp:lastModifiedBy>
  <cp:lastPrinted>2024-02-27T01:14:00Z</cp:lastPrinted>
  <dcterms:modified xsi:type="dcterms:W3CDTF">2024-03-01T08:35:03Z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4BDB8FCADA604DBAA0A57F08270F9286_13</vt:lpwstr>
  </property>
</Properties>
</file>