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widowControl/>
        <w:rPr>
          <w:rFonts w:hint="default" w:ascii="黑体" w:hAnsi="黑体" w:eastAsia="黑体" w:cs="黑体"/>
        </w:rPr>
      </w:pPr>
      <w:bookmarkStart w:id="1" w:name="_GoBack"/>
      <w:r>
        <w:rPr>
          <w:rFonts w:ascii="黑体" w:hAnsi="黑体" w:eastAsia="黑体" w:cs="黑体"/>
        </w:rPr>
        <w:t>附件2</w:t>
      </w:r>
    </w:p>
    <w:p>
      <w:pPr>
        <w:pStyle w:val="2"/>
        <w:bidi w:val="0"/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普通高等学校学历继续教育人才培养方案</w:t>
      </w:r>
    </w:p>
    <w:p>
      <w:pPr>
        <w:pStyle w:val="2"/>
        <w:bidi w:val="0"/>
        <w:jc w:val="center"/>
        <w:rPr>
          <w:rFonts w:hint="default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编制工作指南</w:t>
      </w:r>
    </w:p>
    <w:bookmarkEnd w:id="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20" w:firstLineChars="200"/>
        <w:textAlignment w:val="auto"/>
        <w:rPr>
          <w:rFonts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人才培养方案是学校组织实施人才培养的主要依据，是保证人才培养质量的基本文件。为进一步加强普通高校举办的学历继续教育教学管理，规范人才培养方案编制工作，保证人才培养规格和质量，制定本指南。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textAlignment w:val="auto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一、工作原则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坚持立德树人、育人为本，加强和改进思想政治教育，推进思政课和课程思政建设，全面提升学生思想政治理论素养和公民道德素质；坚持遵循规律、服务发展，适应成人在职学习需求和认知规律，突出人才培养的职业性、应用性和发展性，服务经济社会和人的全面发展；坚持科学规范、突出特色，严格执行国家有关教学基本文件，规范编制流程，结合学校专业特色及生源多样化特点等，探索灵活多样的人才培养模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textAlignment w:val="auto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二、主要内容及要求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2" w:firstLineChars="200"/>
        <w:textAlignment w:val="auto"/>
        <w:rPr>
          <w:rFonts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（一）专业基本信息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专业名称、专业代码严格按照现行《普通高等学校本科专业目录》《职业教育专业目录》执行，并标注办学层次。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2" w:firstLineChars="200"/>
        <w:textAlignment w:val="auto"/>
        <w:rPr>
          <w:rFonts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（二）培养目标与人才规格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结合学校办学定位和专业特色，科学合理确定符合经济社会发展需求的专业培养目标和培养规格，明确学生应达到的知识、能力和素质要求。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2" w:firstLineChars="200"/>
        <w:textAlignment w:val="auto"/>
        <w:rPr>
          <w:rFonts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（三）修业年限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高起专和专升本最低修业年限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2.5年</w:t>
      </w:r>
      <w:r>
        <w:rPr>
          <w:rFonts w:hint="eastAsia" w:ascii="仿宋" w:hAnsi="仿宋" w:eastAsia="仿宋" w:cs="仿宋"/>
          <w:sz w:val="28"/>
          <w:szCs w:val="28"/>
        </w:rPr>
        <w:t>，最高修业年限不超过5年；高起本最低修业年限5年，最高修业年限不超过8年。高校可按上述要求，具体确定本校各专业修业年限。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2" w:firstLineChars="200"/>
        <w:textAlignment w:val="auto"/>
        <w:rPr>
          <w:rFonts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（四）课程设置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课程设置一般分为公共基础课、专业课、</w:t>
      </w:r>
      <w:r>
        <w:rPr>
          <w:rFonts w:hint="eastAsia" w:ascii="仿宋" w:hAnsi="仿宋" w:eastAsia="仿宋" w:cs="仿宋"/>
          <w:sz w:val="28"/>
          <w:szCs w:val="28"/>
          <w:highlight w:val="yellow"/>
        </w:rPr>
        <w:t>职业能力拓展课</w:t>
      </w:r>
      <w:r>
        <w:rPr>
          <w:rFonts w:hint="eastAsia" w:ascii="仿宋" w:hAnsi="仿宋" w:eastAsia="仿宋" w:cs="仿宋"/>
          <w:sz w:val="28"/>
          <w:szCs w:val="28"/>
        </w:rPr>
        <w:t>，高校也可根据实际情况自行确定课程分类。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公共基础课。按照国家有关规定开足开齐思想政治理论课、心理健康课等。参照现行《普通高等学校本科专业类教学质量国家标准》《高等职业学校专业教学标准》相关规定开设其他公共基础课。要加强公共基础课与专业课的衔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2.专业课。参照现行《普通高等学校本科专业类教学质量国家标准》《高等职业学校专业教学标准》相关规定开设专业课，并根据学校专业特色和生源特点，合理安排课程结构和内容，落实</w:t>
      </w:r>
      <w:r>
        <w:rPr>
          <w:rFonts w:hint="eastAsia" w:ascii="仿宋" w:hAnsi="仿宋" w:eastAsia="仿宋" w:cs="仿宋"/>
          <w:sz w:val="28"/>
          <w:szCs w:val="28"/>
          <w:highlight w:val="yellow"/>
        </w:rPr>
        <w:t>实验实训</w:t>
      </w:r>
      <w:r>
        <w:rPr>
          <w:rFonts w:hint="eastAsia" w:ascii="仿宋" w:hAnsi="仿宋" w:eastAsia="仿宋" w:cs="仿宋"/>
          <w:sz w:val="28"/>
          <w:szCs w:val="28"/>
        </w:rPr>
        <w:t>、毕业论文（设计）以及实验实习等环节要求。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</w:t>
      </w:r>
      <w:r>
        <w:rPr>
          <w:rFonts w:hint="eastAsia" w:ascii="仿宋" w:hAnsi="仿宋" w:eastAsia="仿宋" w:cs="仿宋"/>
          <w:sz w:val="28"/>
          <w:szCs w:val="28"/>
          <w:highlight w:val="yellow"/>
        </w:rPr>
        <w:t>职业能力拓展课。学校可根据实际情况，结合学生的职业发展需求，选择开设部分职业素养或职业能力提升类课程。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专升本专业须结合专科课程体系要求，按照本科课程设置要求合理确定所开设课程和内容，确保相关课程的贯通衔接。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2" w:firstLineChars="200"/>
        <w:textAlignment w:val="auto"/>
        <w:rPr>
          <w:rFonts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（五）教学形式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要结合学科专业特点和学生实际情况，采取灵活多样的形式实施教学。要合理确定</w:t>
      </w:r>
      <w:r>
        <w:rPr>
          <w:rFonts w:hint="eastAsia" w:ascii="仿宋" w:hAnsi="仿宋" w:eastAsia="仿宋" w:cs="仿宋"/>
          <w:sz w:val="28"/>
          <w:szCs w:val="28"/>
          <w:highlight w:val="yellow"/>
        </w:rPr>
        <w:t>线上（含直播教学）</w:t>
      </w:r>
      <w:r>
        <w:rPr>
          <w:rFonts w:hint="eastAsia" w:ascii="仿宋" w:hAnsi="仿宋" w:eastAsia="仿宋" w:cs="仿宋"/>
          <w:sz w:val="28"/>
          <w:szCs w:val="28"/>
        </w:rPr>
        <w:t>与线下教学形式比例，</w:t>
      </w:r>
      <w:r>
        <w:rPr>
          <w:rFonts w:hint="eastAsia" w:ascii="仿宋" w:hAnsi="仿宋" w:eastAsia="仿宋" w:cs="仿宋"/>
          <w:sz w:val="28"/>
          <w:szCs w:val="28"/>
          <w:highlight w:val="yellow"/>
        </w:rPr>
        <w:t>线下教学原则上不少于人才培养方案规定总学时的20%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2" w:firstLineChars="200"/>
        <w:textAlignment w:val="auto"/>
        <w:rPr>
          <w:rFonts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（六）学时、学分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高起专、专升本总学时数原则上不低于</w:t>
      </w:r>
      <w:r>
        <w:rPr>
          <w:rFonts w:hint="eastAsia" w:ascii="仿宋" w:hAnsi="仿宋" w:eastAsia="仿宋" w:cs="仿宋"/>
          <w:sz w:val="28"/>
          <w:szCs w:val="28"/>
          <w:highlight w:val="yellow"/>
        </w:rPr>
        <w:t>1600学时</w:t>
      </w:r>
      <w:r>
        <w:rPr>
          <w:rFonts w:hint="eastAsia" w:ascii="仿宋" w:hAnsi="仿宋" w:eastAsia="仿宋" w:cs="仿宋"/>
          <w:sz w:val="28"/>
          <w:szCs w:val="28"/>
        </w:rPr>
        <w:t>；高起本总学时数不低于3000学时。实行学分制的，一般以16—18学时计为1个学分。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鼓励高校以国家和地方“学分银行”制度为基础，制订本校学历继续教育学分认定与转换规则，促进学历继续教育与非学历教育、普通本科教育、高等职业教育之间的学习成果认定、积累与转换。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2" w:firstLineChars="200"/>
        <w:textAlignment w:val="auto"/>
        <w:rPr>
          <w:rFonts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（七）考核与毕业要求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课程考核要立足课程特点和基本要求，将</w:t>
      </w:r>
      <w:r>
        <w:rPr>
          <w:rFonts w:hint="eastAsia" w:ascii="仿宋" w:hAnsi="仿宋" w:eastAsia="仿宋" w:cs="仿宋"/>
          <w:sz w:val="28"/>
          <w:szCs w:val="28"/>
          <w:highlight w:val="yellow"/>
        </w:rPr>
        <w:t>过程性考核（平时成绩）与终结性考核（期末考试）相结合</w:t>
      </w:r>
      <w:r>
        <w:rPr>
          <w:rFonts w:hint="eastAsia" w:ascii="仿宋" w:hAnsi="仿宋" w:eastAsia="仿宋" w:cs="仿宋"/>
          <w:sz w:val="28"/>
          <w:szCs w:val="28"/>
        </w:rPr>
        <w:t>。公共基础课和专业课的期末考试原则上应为</w:t>
      </w:r>
      <w:r>
        <w:rPr>
          <w:rFonts w:hint="eastAsia" w:ascii="仿宋" w:hAnsi="仿宋" w:eastAsia="仿宋" w:cs="仿宋"/>
          <w:sz w:val="28"/>
          <w:szCs w:val="28"/>
          <w:highlight w:val="yellow"/>
        </w:rPr>
        <w:t>闭卷考试</w:t>
      </w:r>
      <w:r>
        <w:rPr>
          <w:rFonts w:hint="eastAsia" w:ascii="仿宋" w:hAnsi="仿宋" w:eastAsia="仿宋" w:cs="仿宋"/>
          <w:sz w:val="28"/>
          <w:szCs w:val="28"/>
        </w:rPr>
        <w:t>。课程期末考试成绩占总成绩比例原则上</w:t>
      </w:r>
      <w:r>
        <w:rPr>
          <w:rFonts w:hint="eastAsia" w:ascii="仿宋" w:hAnsi="仿宋" w:eastAsia="仿宋" w:cs="仿宋"/>
          <w:sz w:val="28"/>
          <w:szCs w:val="28"/>
          <w:highlight w:val="yellow"/>
        </w:rPr>
        <w:t>不低于40%，不超过 80%</w:t>
      </w:r>
      <w:r>
        <w:rPr>
          <w:rFonts w:hint="eastAsia" w:ascii="仿宋" w:hAnsi="仿宋" w:eastAsia="仿宋" w:cs="仿宋"/>
          <w:sz w:val="28"/>
          <w:szCs w:val="28"/>
        </w:rPr>
        <w:t>。应参照本校全日制学生毕业要求，结合成人在职学习特点等合理确定毕业要求。</w:t>
      </w:r>
      <w:r>
        <w:rPr>
          <w:rFonts w:hint="eastAsia" w:ascii="仿宋" w:hAnsi="仿宋" w:eastAsia="仿宋" w:cs="仿宋"/>
          <w:sz w:val="28"/>
          <w:szCs w:val="28"/>
          <w:highlight w:val="yellow"/>
        </w:rPr>
        <w:t>本科专业还应明确该学士学位授予条件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2" w:firstLineChars="200"/>
        <w:textAlignment w:val="auto"/>
        <w:rPr>
          <w:rFonts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（八）教学进程安排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以表格形式列出本专业的课程类别、课程编码、课程名称、学时学分、学期课程安排、考核方式以及毕业论文（设计）、毕业答辩及审核等环节（教学进程表可参考附表样式）。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2" w:firstLineChars="200"/>
        <w:textAlignment w:val="auto"/>
        <w:rPr>
          <w:rFonts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（九）教学实施保障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主要包括教材选用、师资队伍、教学及实验实训条件、数字化资源、质量管理、经费保障等方面。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textAlignment w:val="auto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三、编制程序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专业人才培养方案制（修）订工作应按照以下基本程序进行。  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2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（一）规划与设计。</w:t>
      </w:r>
      <w:r>
        <w:rPr>
          <w:rFonts w:hint="eastAsia" w:ascii="仿宋" w:hAnsi="仿宋" w:eastAsia="仿宋" w:cs="仿宋"/>
          <w:sz w:val="28"/>
          <w:szCs w:val="28"/>
        </w:rPr>
        <w:t>学校根据国家高等学历继续教育专业设置和办学基本要求，结合本校发展规划与特色优势，部署开展各专业人才培养方案制订工作。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2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（二）调研与分析。</w:t>
      </w:r>
      <w:r>
        <w:rPr>
          <w:rFonts w:hint="eastAsia" w:ascii="仿宋" w:hAnsi="仿宋" w:eastAsia="仿宋" w:cs="仿宋"/>
          <w:sz w:val="28"/>
          <w:szCs w:val="28"/>
        </w:rPr>
        <w:t>学校组织专家深入调研，分析行业企业和学习者对专业人才培养的需求，提出专业人才培养方案的调研分析报告。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2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（三）起草与审定。</w:t>
      </w:r>
      <w:r>
        <w:rPr>
          <w:rFonts w:hint="eastAsia" w:ascii="仿宋" w:hAnsi="仿宋" w:eastAsia="仿宋" w:cs="仿宋"/>
          <w:sz w:val="28"/>
          <w:szCs w:val="28"/>
        </w:rPr>
        <w:t>学校应分专业组织起草人才培养方案，组织专家进行论证，</w:t>
      </w:r>
      <w:r>
        <w:rPr>
          <w:rFonts w:hint="eastAsia" w:ascii="仿宋" w:hAnsi="仿宋" w:eastAsia="仿宋" w:cs="仿宋"/>
          <w:sz w:val="28"/>
          <w:szCs w:val="28"/>
          <w:highlight w:val="yellow"/>
        </w:rPr>
        <w:t>提交学校学术（教学）委员会审定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2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（四）发布与更新。</w:t>
      </w:r>
      <w:r>
        <w:rPr>
          <w:rFonts w:hint="eastAsia" w:ascii="仿宋" w:hAnsi="仿宋" w:eastAsia="仿宋" w:cs="仿宋"/>
          <w:sz w:val="28"/>
          <w:szCs w:val="28"/>
        </w:rPr>
        <w:t>审定通过的人才培养方案在专业备案工作的同时，通过信息平台报主管教育行政部门备案，并按程序发布执行，主动向社会公开。人才培养方案原则上要按人才培养周期进行修订。涉及国家政策文件要求调整的，应及时进行更新完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textAlignment w:val="auto"/>
        <w:rPr>
          <w:rFonts w:ascii="Times New Roman" w:hAnsi="Times New Roman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成人高等学校、开放大学举办的高等学历继续教育参照本指南执行。</w:t>
      </w:r>
    </w:p>
    <w:p>
      <w:pPr>
        <w:pStyle w:val="2"/>
        <w:ind w:left="0" w:leftChars="0" w:firstLine="0" w:firstLineChars="0"/>
        <w:rPr>
          <w:rFonts w:ascii="黑体" w:hAnsi="黑体" w:eastAsia="黑体" w:cs="黑体"/>
          <w:bCs/>
          <w:sz w:val="28"/>
          <w:szCs w:val="28"/>
        </w:rPr>
      </w:pPr>
    </w:p>
    <w:p>
      <w:pPr>
        <w:widowControl/>
        <w:numPr>
          <w:ilvl w:val="255"/>
          <w:numId w:val="0"/>
        </w:numPr>
        <w:spacing w:line="560" w:lineRule="exact"/>
        <w:rPr>
          <w:rFonts w:ascii="Times New Roman" w:hAnsi="宋体"/>
          <w:b/>
        </w:rPr>
      </w:pPr>
    </w:p>
    <w:p>
      <w:pPr>
        <w:pStyle w:val="2"/>
        <w:rPr>
          <w:rFonts w:ascii="Times New Roman" w:hAnsi="宋体"/>
          <w:b/>
        </w:rPr>
      </w:pPr>
    </w:p>
    <w:p>
      <w:pPr>
        <w:pStyle w:val="2"/>
        <w:rPr>
          <w:rFonts w:ascii="Times New Roman" w:hAnsi="宋体"/>
          <w:b/>
        </w:rPr>
      </w:pPr>
    </w:p>
    <w:p>
      <w:pPr>
        <w:pStyle w:val="2"/>
        <w:rPr>
          <w:rFonts w:ascii="Times New Roman" w:hAnsi="宋体"/>
          <w:b/>
        </w:rPr>
      </w:pPr>
    </w:p>
    <w:p>
      <w:pPr>
        <w:adjustRightInd w:val="0"/>
        <w:snapToGrid w:val="0"/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附表1</w:t>
      </w:r>
    </w:p>
    <w:p>
      <w:pPr>
        <w:pStyle w:val="2"/>
        <w:ind w:firstLine="400"/>
      </w:pPr>
    </w:p>
    <w:p>
      <w:pPr>
        <w:jc w:val="center"/>
        <w:rPr>
          <w:rFonts w:hint="eastAsia" w:ascii="宋体" w:hAnsi="宋体" w:eastAsia="宋体" w:cs="宋体"/>
          <w:b w:val="0"/>
          <w:bCs/>
          <w:sz w:val="44"/>
          <w:szCs w:val="44"/>
        </w:rPr>
      </w:pPr>
      <w:r>
        <w:rPr>
          <w:rFonts w:hint="eastAsia" w:ascii="宋体" w:hAnsi="宋体" w:eastAsia="宋体" w:cs="宋体"/>
          <w:b w:val="0"/>
          <w:bCs/>
          <w:sz w:val="44"/>
          <w:szCs w:val="44"/>
        </w:rPr>
        <w:t>高起专（专升本）专业教学进程表参考样式</w:t>
      </w:r>
    </w:p>
    <w:tbl>
      <w:tblPr>
        <w:tblStyle w:val="7"/>
        <w:tblpPr w:leftFromText="180" w:rightFromText="180" w:vertAnchor="text" w:horzAnchor="page" w:tblpX="1830" w:tblpY="127"/>
        <w:tblOverlap w:val="never"/>
        <w:tblW w:w="831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6"/>
        <w:gridCol w:w="374"/>
        <w:gridCol w:w="462"/>
        <w:gridCol w:w="2244"/>
        <w:gridCol w:w="374"/>
        <w:gridCol w:w="374"/>
        <w:gridCol w:w="374"/>
        <w:gridCol w:w="374"/>
        <w:gridCol w:w="374"/>
        <w:gridCol w:w="374"/>
        <w:gridCol w:w="374"/>
        <w:gridCol w:w="374"/>
        <w:gridCol w:w="375"/>
        <w:gridCol w:w="375"/>
        <w:gridCol w:w="375"/>
        <w:gridCol w:w="386"/>
        <w:gridCol w:w="3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34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课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程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类别</w:t>
            </w:r>
          </w:p>
        </w:tc>
        <w:tc>
          <w:tcPr>
            <w:tcW w:w="37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序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号</w:t>
            </w:r>
          </w:p>
        </w:tc>
        <w:tc>
          <w:tcPr>
            <w:tcW w:w="46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课程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代码</w:t>
            </w:r>
          </w:p>
        </w:tc>
        <w:tc>
          <w:tcPr>
            <w:tcW w:w="224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课 程 名 称</w:t>
            </w:r>
          </w:p>
        </w:tc>
        <w:tc>
          <w:tcPr>
            <w:tcW w:w="37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学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分</w:t>
            </w:r>
          </w:p>
        </w:tc>
        <w:tc>
          <w:tcPr>
            <w:tcW w:w="37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总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学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时</w:t>
            </w:r>
          </w:p>
        </w:tc>
        <w:tc>
          <w:tcPr>
            <w:tcW w:w="2994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各学期学时分配</w:t>
            </w:r>
          </w:p>
        </w:tc>
        <w:tc>
          <w:tcPr>
            <w:tcW w:w="114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考核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 w:hRule="atLeast"/>
        </w:trPr>
        <w:tc>
          <w:tcPr>
            <w:tcW w:w="3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</w:p>
        </w:tc>
        <w:tc>
          <w:tcPr>
            <w:tcW w:w="3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</w:p>
        </w:tc>
        <w:tc>
          <w:tcPr>
            <w:tcW w:w="4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</w:p>
        </w:tc>
        <w:tc>
          <w:tcPr>
            <w:tcW w:w="224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</w:p>
        </w:tc>
        <w:tc>
          <w:tcPr>
            <w:tcW w:w="3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</w:p>
        </w:tc>
        <w:tc>
          <w:tcPr>
            <w:tcW w:w="3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</w:p>
        </w:tc>
        <w:tc>
          <w:tcPr>
            <w:tcW w:w="37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线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上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教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学</w:t>
            </w:r>
          </w:p>
        </w:tc>
        <w:tc>
          <w:tcPr>
            <w:tcW w:w="37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线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下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教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学</w:t>
            </w:r>
          </w:p>
        </w:tc>
        <w:tc>
          <w:tcPr>
            <w:tcW w:w="37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实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验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实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训</w:t>
            </w:r>
          </w:p>
        </w:tc>
        <w:tc>
          <w:tcPr>
            <w:tcW w:w="37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一</w:t>
            </w:r>
          </w:p>
        </w:tc>
        <w:tc>
          <w:tcPr>
            <w:tcW w:w="37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二</w:t>
            </w:r>
          </w:p>
        </w:tc>
        <w:tc>
          <w:tcPr>
            <w:tcW w:w="37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三</w:t>
            </w:r>
          </w:p>
        </w:tc>
        <w:tc>
          <w:tcPr>
            <w:tcW w:w="37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四</w:t>
            </w:r>
          </w:p>
        </w:tc>
        <w:tc>
          <w:tcPr>
            <w:tcW w:w="37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五</w:t>
            </w:r>
          </w:p>
        </w:tc>
        <w:tc>
          <w:tcPr>
            <w:tcW w:w="37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过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程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性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考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核</w:t>
            </w:r>
          </w:p>
        </w:tc>
        <w:tc>
          <w:tcPr>
            <w:tcW w:w="77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终结性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考核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3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</w:p>
        </w:tc>
        <w:tc>
          <w:tcPr>
            <w:tcW w:w="3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</w:p>
        </w:tc>
        <w:tc>
          <w:tcPr>
            <w:tcW w:w="4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</w:p>
        </w:tc>
        <w:tc>
          <w:tcPr>
            <w:tcW w:w="224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</w:p>
        </w:tc>
        <w:tc>
          <w:tcPr>
            <w:tcW w:w="3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</w:p>
        </w:tc>
        <w:tc>
          <w:tcPr>
            <w:tcW w:w="3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</w:p>
        </w:tc>
        <w:tc>
          <w:tcPr>
            <w:tcW w:w="3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</w:p>
        </w:tc>
        <w:tc>
          <w:tcPr>
            <w:tcW w:w="3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</w:p>
        </w:tc>
        <w:tc>
          <w:tcPr>
            <w:tcW w:w="3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</w:p>
        </w:tc>
        <w:tc>
          <w:tcPr>
            <w:tcW w:w="3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</w:p>
        </w:tc>
        <w:tc>
          <w:tcPr>
            <w:tcW w:w="3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</w:p>
        </w:tc>
        <w:tc>
          <w:tcPr>
            <w:tcW w:w="3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</w:p>
        </w:tc>
        <w:tc>
          <w:tcPr>
            <w:tcW w:w="3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</w:p>
        </w:tc>
        <w:tc>
          <w:tcPr>
            <w:tcW w:w="3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</w:p>
        </w:tc>
        <w:tc>
          <w:tcPr>
            <w:tcW w:w="3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闭卷</w:t>
            </w: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开卷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34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宋体"/>
                <w:sz w:val="18"/>
                <w:szCs w:val="18"/>
              </w:rPr>
            </w:pPr>
            <w:bookmarkStart w:id="0" w:name="_Hlk263065686"/>
            <w:r>
              <w:rPr>
                <w:rFonts w:ascii="Times New Roman" w:hAnsi="宋体"/>
                <w:sz w:val="18"/>
                <w:szCs w:val="18"/>
              </w:rPr>
              <w:t>公</w:t>
            </w:r>
          </w:p>
          <w:p>
            <w:pPr>
              <w:spacing w:line="280" w:lineRule="exact"/>
              <w:jc w:val="center"/>
              <w:rPr>
                <w:rFonts w:ascii="Times New Roman" w:hAnsi="宋体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共</w:t>
            </w:r>
          </w:p>
          <w:p>
            <w:pPr>
              <w:spacing w:line="280" w:lineRule="exact"/>
              <w:jc w:val="center"/>
              <w:rPr>
                <w:rFonts w:ascii="Times New Roman" w:hAnsi="宋体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基</w:t>
            </w:r>
          </w:p>
          <w:p>
            <w:pPr>
              <w:spacing w:line="280" w:lineRule="exact"/>
              <w:jc w:val="center"/>
              <w:rPr>
                <w:rFonts w:ascii="Times New Roman" w:hAnsi="宋体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础</w:t>
            </w:r>
          </w:p>
          <w:p>
            <w:pPr>
              <w:spacing w:line="280" w:lineRule="exact"/>
              <w:jc w:val="center"/>
              <w:rPr>
                <w:rFonts w:ascii="Times New Roman" w:hAnsi="宋体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课</w:t>
            </w: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5"/>
                <w:szCs w:val="15"/>
              </w:rPr>
            </w:pPr>
          </w:p>
        </w:tc>
        <w:tc>
          <w:tcPr>
            <w:tcW w:w="462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宋体"/>
                <w:sz w:val="15"/>
                <w:szCs w:val="15"/>
              </w:rPr>
            </w:pP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5"/>
                <w:szCs w:val="15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5"/>
                <w:szCs w:val="15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5"/>
                <w:szCs w:val="15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5"/>
                <w:szCs w:val="15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5"/>
                <w:szCs w:val="15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5"/>
                <w:szCs w:val="15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5"/>
                <w:szCs w:val="15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5"/>
                <w:szCs w:val="15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5"/>
                <w:szCs w:val="15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5"/>
                <w:szCs w:val="15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5"/>
                <w:szCs w:val="15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5"/>
                <w:szCs w:val="15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5"/>
                <w:szCs w:val="15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5"/>
                <w:szCs w:val="15"/>
              </w:rPr>
            </w:pPr>
          </w:p>
        </w:tc>
      </w:tr>
      <w:bookmarkEnd w:id="0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3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3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3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34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宋体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专</w:t>
            </w:r>
          </w:p>
          <w:p>
            <w:pPr>
              <w:spacing w:line="280" w:lineRule="exact"/>
              <w:jc w:val="center"/>
              <w:rPr>
                <w:rFonts w:ascii="Times New Roman" w:hAnsi="宋体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业</w:t>
            </w:r>
          </w:p>
          <w:p>
            <w:pPr>
              <w:spacing w:line="280" w:lineRule="exact"/>
              <w:jc w:val="center"/>
              <w:rPr>
                <w:rFonts w:ascii="Times New Roman" w:hAnsi="宋体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课</w:t>
            </w: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3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3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3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34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宋体" w:eastAsia="宋体"/>
                <w:sz w:val="18"/>
                <w:szCs w:val="18"/>
              </w:rPr>
            </w:pPr>
            <w:r>
              <w:rPr>
                <w:rFonts w:hint="eastAsia" w:ascii="Times New Roman" w:hAnsi="宋体"/>
                <w:sz w:val="18"/>
                <w:szCs w:val="18"/>
              </w:rPr>
              <w:t>职业能力拓展课</w:t>
            </w: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3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3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3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3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34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宋体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实</w:t>
            </w:r>
          </w:p>
          <w:p>
            <w:pPr>
              <w:spacing w:line="280" w:lineRule="exact"/>
              <w:jc w:val="center"/>
              <w:rPr>
                <w:rFonts w:ascii="Times New Roman" w:hAnsi="宋体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践</w:t>
            </w:r>
          </w:p>
          <w:p>
            <w:pPr>
              <w:spacing w:line="280" w:lineRule="exact"/>
              <w:jc w:val="center"/>
              <w:rPr>
                <w:rFonts w:ascii="Times New Roman" w:hAnsi="宋体"/>
                <w:sz w:val="18"/>
                <w:szCs w:val="18"/>
              </w:rPr>
            </w:pPr>
            <w:r>
              <w:rPr>
                <w:rFonts w:hint="eastAsia" w:ascii="Times New Roman" w:hAnsi="宋体"/>
                <w:sz w:val="18"/>
                <w:szCs w:val="18"/>
              </w:rPr>
              <w:t>教</w:t>
            </w:r>
          </w:p>
          <w:p>
            <w:pPr>
              <w:spacing w:line="280" w:lineRule="exact"/>
              <w:jc w:val="center"/>
              <w:rPr>
                <w:rFonts w:ascii="Times New Roman" w:hAnsi="宋体" w:eastAsia="宋体"/>
                <w:sz w:val="18"/>
                <w:szCs w:val="18"/>
              </w:rPr>
            </w:pPr>
            <w:r>
              <w:rPr>
                <w:rFonts w:hint="eastAsia" w:ascii="Times New Roman" w:hAnsi="宋体"/>
                <w:sz w:val="18"/>
                <w:szCs w:val="18"/>
              </w:rPr>
              <w:t>学</w:t>
            </w:r>
          </w:p>
          <w:p>
            <w:pPr>
              <w:spacing w:line="280" w:lineRule="exact"/>
              <w:jc w:val="center"/>
              <w:rPr>
                <w:rFonts w:ascii="Times New Roman" w:hAnsi="宋体"/>
                <w:sz w:val="18"/>
                <w:szCs w:val="18"/>
              </w:rPr>
            </w:pPr>
            <w:r>
              <w:rPr>
                <w:rFonts w:hint="eastAsia" w:ascii="Times New Roman" w:hAnsi="宋体"/>
                <w:sz w:val="18"/>
                <w:szCs w:val="18"/>
              </w:rPr>
              <w:t>环</w:t>
            </w:r>
          </w:p>
          <w:p>
            <w:pPr>
              <w:spacing w:line="280" w:lineRule="exact"/>
              <w:jc w:val="center"/>
              <w:rPr>
                <w:rFonts w:ascii="Times New Roman" w:hAnsi="宋体" w:eastAsia="宋体"/>
                <w:sz w:val="18"/>
                <w:szCs w:val="18"/>
              </w:rPr>
            </w:pPr>
            <w:r>
              <w:rPr>
                <w:rFonts w:hint="eastAsia" w:ascii="Times New Roman" w:hAnsi="宋体"/>
                <w:sz w:val="18"/>
                <w:szCs w:val="18"/>
              </w:rPr>
              <w:t>节</w:t>
            </w: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 w:eastAsia="宋体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入学教育</w:t>
            </w: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3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  <w:r>
              <w:rPr>
                <w:rFonts w:hint="eastAsia" w:ascii="Times New Roman" w:hAnsi="宋体"/>
                <w:sz w:val="18"/>
                <w:szCs w:val="18"/>
              </w:rPr>
              <w:t>毕业教育</w:t>
            </w: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3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 w:eastAsia="宋体"/>
                <w:sz w:val="18"/>
                <w:szCs w:val="18"/>
              </w:rPr>
            </w:pPr>
            <w:r>
              <w:rPr>
                <w:rFonts w:hint="eastAsia" w:ascii="Times New Roman" w:hAnsi="宋体"/>
                <w:sz w:val="18"/>
                <w:szCs w:val="18"/>
              </w:rPr>
              <w:t>毕业实习</w:t>
            </w: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3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 w:eastAsia="宋体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毕业论文</w:t>
            </w:r>
            <w:r>
              <w:rPr>
                <w:rFonts w:hint="eastAsia" w:ascii="Times New Roman" w:hAnsi="宋体"/>
                <w:sz w:val="18"/>
                <w:szCs w:val="18"/>
              </w:rPr>
              <w:t>（设计）</w:t>
            </w: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3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  <w:r>
              <w:rPr>
                <w:rFonts w:hint="eastAsia" w:ascii="Times New Roman" w:hAnsi="宋体"/>
                <w:sz w:val="18"/>
                <w:szCs w:val="18"/>
              </w:rPr>
              <w:t>（可根据需要添行）</w:t>
            </w: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342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  <w:r>
              <w:rPr>
                <w:rFonts w:hint="eastAsia" w:ascii="Times New Roman" w:hAnsi="宋体"/>
                <w:sz w:val="18"/>
                <w:szCs w:val="18"/>
              </w:rPr>
              <w:t xml:space="preserve">  </w:t>
            </w:r>
            <w:r>
              <w:rPr>
                <w:rFonts w:ascii="Times New Roman" w:hAnsi="宋体"/>
                <w:sz w:val="18"/>
                <w:szCs w:val="18"/>
              </w:rPr>
              <w:t>合  计</w:t>
            </w: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1147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  <w:p>
            <w:pPr>
              <w:snapToGrid w:val="0"/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417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百分比（%）</w:t>
            </w: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1147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</w:tr>
    </w:tbl>
    <w:p>
      <w:pPr>
        <w:pStyle w:val="2"/>
        <w:ind w:firstLine="400"/>
      </w:pPr>
    </w:p>
    <w:p>
      <w:pPr>
        <w:widowControl/>
        <w:numPr>
          <w:ilvl w:val="255"/>
          <w:numId w:val="0"/>
        </w:numPr>
        <w:spacing w:line="560" w:lineRule="exact"/>
        <w:ind w:firstLine="211" w:firstLineChars="100"/>
        <w:rPr>
          <w:rFonts w:ascii="Times New Roman" w:hAnsi="宋体" w:eastAsia="宋体"/>
          <w:bCs/>
        </w:rPr>
      </w:pPr>
      <w:r>
        <w:rPr>
          <w:rFonts w:ascii="Times New Roman" w:hAnsi="宋体"/>
          <w:b/>
          <w:bCs/>
          <w:szCs w:val="21"/>
        </w:rPr>
        <w:t>备注：</w:t>
      </w:r>
      <w:r>
        <w:rPr>
          <w:rFonts w:hint="eastAsia" w:ascii="Times New Roman" w:hAnsi="宋体"/>
          <w:bCs/>
        </w:rPr>
        <w:t>1.课程类别</w:t>
      </w:r>
      <w:r>
        <w:rPr>
          <w:rFonts w:hint="eastAsia" w:ascii="Times New Roman" w:hAnsi="宋体" w:cs="Times New Roman"/>
          <w:bCs/>
        </w:rPr>
        <w:t>：高校也可根据实际情况自行确定课程分类。</w:t>
      </w:r>
    </w:p>
    <w:p>
      <w:pPr>
        <w:ind w:firstLine="840" w:firstLineChars="400"/>
        <w:rPr>
          <w:rFonts w:ascii="Times New Roman" w:hAnsi="宋体"/>
          <w:bCs/>
        </w:rPr>
      </w:pPr>
      <w:r>
        <w:rPr>
          <w:rFonts w:hint="eastAsia" w:ascii="Times New Roman" w:hAnsi="宋体"/>
          <w:bCs/>
        </w:rPr>
        <w:t>2.学分与学时换算，按照1学分16—18学时进行换算。</w:t>
      </w:r>
    </w:p>
    <w:p>
      <w:pPr>
        <w:ind w:firstLine="840" w:firstLineChars="400"/>
        <w:rPr>
          <w:rFonts w:ascii="Times New Roman" w:hAnsi="宋体"/>
          <w:bCs/>
        </w:rPr>
      </w:pPr>
      <w:r>
        <w:rPr>
          <w:rFonts w:hint="eastAsia" w:ascii="Times New Roman" w:hAnsi="宋体"/>
          <w:bCs/>
        </w:rPr>
        <w:t>3.请在考核方式中选择“</w:t>
      </w:r>
      <w:r>
        <w:rPr>
          <w:rFonts w:ascii="Times New Roman" w:hAnsi="宋体"/>
          <w:bCs/>
        </w:rPr>
        <w:t>√</w:t>
      </w:r>
      <w:r>
        <w:rPr>
          <w:rFonts w:hint="eastAsia" w:ascii="Times New Roman" w:hAnsi="宋体"/>
          <w:bCs/>
        </w:rPr>
        <w:t>”填写。</w:t>
      </w:r>
    </w:p>
    <w:p>
      <w:pPr>
        <w:pStyle w:val="2"/>
        <w:ind w:firstLine="0" w:firstLineChars="0"/>
        <w:rPr>
          <w:rFonts w:hAnsi="宋体"/>
          <w:bCs/>
        </w:rPr>
      </w:pPr>
    </w:p>
    <w:sectPr>
      <w:footerReference r:id="rId3" w:type="default"/>
      <w:pgSz w:w="11906" w:h="16838"/>
      <w:pgMar w:top="1134" w:right="1304" w:bottom="113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562162C-1912-468C-A7E1-BBE264E5910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BDC938F0-6A14-4B16-A282-5BF043D3FF03}"/>
  </w:font>
  <w:font w:name="pingfang sc">
    <w:altName w:val="微软雅黑"/>
    <w:panose1 w:val="00000000000000000000"/>
    <w:charset w:val="86"/>
    <w:family w:val="auto"/>
    <w:pitch w:val="default"/>
    <w:sig w:usb0="00000000" w:usb1="00000000" w:usb2="00000017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B0500000000000000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9C0C8022-07BD-4F11-A38F-5AE3E6CACA3B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DB53E2A8-C2EE-4144-91E4-850B950346E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82BC349A-A107-4A81-8CA3-78CA0C3CC116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EE4D5A86-E28B-4C38-BF2F-CAF6D567301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yOGM4MTcxM2ViZGQzNzczMGU0NDY1YWI2NTc4ZTUifQ=="/>
  </w:docVars>
  <w:rsids>
    <w:rsidRoot w:val="610722B5"/>
    <w:rsid w:val="0003790D"/>
    <w:rsid w:val="00217A4F"/>
    <w:rsid w:val="00374957"/>
    <w:rsid w:val="004105D6"/>
    <w:rsid w:val="00665C29"/>
    <w:rsid w:val="00EA6D8E"/>
    <w:rsid w:val="00F423F7"/>
    <w:rsid w:val="021B2E86"/>
    <w:rsid w:val="02212E6A"/>
    <w:rsid w:val="036E1052"/>
    <w:rsid w:val="03FC3ACA"/>
    <w:rsid w:val="06AB3EB1"/>
    <w:rsid w:val="06E77DE3"/>
    <w:rsid w:val="06ED3120"/>
    <w:rsid w:val="077B316A"/>
    <w:rsid w:val="07892EFD"/>
    <w:rsid w:val="0993498D"/>
    <w:rsid w:val="0D5A1D58"/>
    <w:rsid w:val="0DF20A80"/>
    <w:rsid w:val="0EEB2DAF"/>
    <w:rsid w:val="0EF152A9"/>
    <w:rsid w:val="10A779A0"/>
    <w:rsid w:val="10B901E7"/>
    <w:rsid w:val="10CD63E9"/>
    <w:rsid w:val="11445DFA"/>
    <w:rsid w:val="135148B4"/>
    <w:rsid w:val="153D4D69"/>
    <w:rsid w:val="161631A0"/>
    <w:rsid w:val="17AF3BE3"/>
    <w:rsid w:val="18641E53"/>
    <w:rsid w:val="19094D78"/>
    <w:rsid w:val="1A141262"/>
    <w:rsid w:val="1A9721AB"/>
    <w:rsid w:val="1EF503D0"/>
    <w:rsid w:val="1FA629A6"/>
    <w:rsid w:val="201A402B"/>
    <w:rsid w:val="221962B5"/>
    <w:rsid w:val="2350644D"/>
    <w:rsid w:val="2358192C"/>
    <w:rsid w:val="23D70F4B"/>
    <w:rsid w:val="25F20537"/>
    <w:rsid w:val="29B36AA5"/>
    <w:rsid w:val="29C42F3C"/>
    <w:rsid w:val="2A780460"/>
    <w:rsid w:val="2A9166B1"/>
    <w:rsid w:val="2B930B4C"/>
    <w:rsid w:val="2B9C4766"/>
    <w:rsid w:val="2BC51FFD"/>
    <w:rsid w:val="2D4D7DD5"/>
    <w:rsid w:val="2DC6306F"/>
    <w:rsid w:val="2E4D4B17"/>
    <w:rsid w:val="2E4E3924"/>
    <w:rsid w:val="2F151A6A"/>
    <w:rsid w:val="2FCE41E6"/>
    <w:rsid w:val="31265080"/>
    <w:rsid w:val="312E0BAB"/>
    <w:rsid w:val="31390BE5"/>
    <w:rsid w:val="32F32A21"/>
    <w:rsid w:val="35D373CF"/>
    <w:rsid w:val="37FE7E72"/>
    <w:rsid w:val="3B617D3B"/>
    <w:rsid w:val="3C5D3D98"/>
    <w:rsid w:val="3E2C7E4F"/>
    <w:rsid w:val="3E554590"/>
    <w:rsid w:val="3F50464B"/>
    <w:rsid w:val="414979A6"/>
    <w:rsid w:val="42096F6C"/>
    <w:rsid w:val="44DE6E08"/>
    <w:rsid w:val="454C49F3"/>
    <w:rsid w:val="45642385"/>
    <w:rsid w:val="45805A9A"/>
    <w:rsid w:val="47146532"/>
    <w:rsid w:val="47C5524C"/>
    <w:rsid w:val="48BD520B"/>
    <w:rsid w:val="4966547D"/>
    <w:rsid w:val="498D2BBD"/>
    <w:rsid w:val="4AFD2237"/>
    <w:rsid w:val="4B15746D"/>
    <w:rsid w:val="4BF773AE"/>
    <w:rsid w:val="4C4D036D"/>
    <w:rsid w:val="4EB52A33"/>
    <w:rsid w:val="4F482E4B"/>
    <w:rsid w:val="4FDD49CB"/>
    <w:rsid w:val="50A516AF"/>
    <w:rsid w:val="518B5EEE"/>
    <w:rsid w:val="52723847"/>
    <w:rsid w:val="56AC441C"/>
    <w:rsid w:val="5715607D"/>
    <w:rsid w:val="585F2DBE"/>
    <w:rsid w:val="59FE35E0"/>
    <w:rsid w:val="5A643B9C"/>
    <w:rsid w:val="5AB45803"/>
    <w:rsid w:val="5C6813C3"/>
    <w:rsid w:val="5EC447BF"/>
    <w:rsid w:val="5F3F6444"/>
    <w:rsid w:val="5F504897"/>
    <w:rsid w:val="60196FC2"/>
    <w:rsid w:val="610722B5"/>
    <w:rsid w:val="621D138E"/>
    <w:rsid w:val="62CF7303"/>
    <w:rsid w:val="67C11575"/>
    <w:rsid w:val="6BAC4F3F"/>
    <w:rsid w:val="6D323B6A"/>
    <w:rsid w:val="6D683A80"/>
    <w:rsid w:val="6E565636"/>
    <w:rsid w:val="71C51281"/>
    <w:rsid w:val="722E314B"/>
    <w:rsid w:val="7579735D"/>
    <w:rsid w:val="785B25CD"/>
    <w:rsid w:val="7A543574"/>
    <w:rsid w:val="7C544B54"/>
    <w:rsid w:val="7CA47255"/>
    <w:rsid w:val="7D17566C"/>
    <w:rsid w:val="7DB806C9"/>
    <w:rsid w:val="7DC24AFD"/>
    <w:rsid w:val="7EB2304E"/>
    <w:rsid w:val="7ED93E46"/>
    <w:rsid w:val="7FE1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  <w:rPr>
      <w:rFonts w:ascii="Times New Roman" w:hAnsi="Times New Roman"/>
      <w:kern w:val="0"/>
      <w:sz w:val="20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4A148C"/>
      <w:u w:val="single"/>
    </w:rPr>
  </w:style>
  <w:style w:type="character" w:styleId="12">
    <w:name w:val="Emphasis"/>
    <w:basedOn w:val="9"/>
    <w:qFormat/>
    <w:uiPriority w:val="0"/>
    <w:rPr>
      <w:color w:val="F73131"/>
    </w:rPr>
  </w:style>
  <w:style w:type="character" w:styleId="13">
    <w:name w:val="Hyperlink"/>
    <w:basedOn w:val="9"/>
    <w:qFormat/>
    <w:uiPriority w:val="0"/>
    <w:rPr>
      <w:color w:val="001BA0"/>
      <w:u w:val="single"/>
    </w:rPr>
  </w:style>
  <w:style w:type="character" w:styleId="14">
    <w:name w:val="HTML Cite"/>
    <w:basedOn w:val="9"/>
    <w:qFormat/>
    <w:uiPriority w:val="0"/>
    <w:rPr>
      <w:color w:val="006D21"/>
    </w:rPr>
  </w:style>
  <w:style w:type="paragraph" w:customStyle="1" w:styleId="15">
    <w:name w:val="p1"/>
    <w:basedOn w:val="1"/>
    <w:qFormat/>
    <w:uiPriority w:val="0"/>
    <w:pPr>
      <w:spacing w:line="560" w:lineRule="atLeast"/>
    </w:pPr>
    <w:rPr>
      <w:rFonts w:hint="eastAsia" w:ascii="pingfang sc" w:hAnsi="pingfang sc" w:eastAsia="pingfang sc" w:cs="Times New Roman"/>
      <w:kern w:val="0"/>
      <w:sz w:val="32"/>
      <w:szCs w:val="32"/>
    </w:rPr>
  </w:style>
  <w:style w:type="paragraph" w:customStyle="1" w:styleId="16">
    <w:name w:val="p3"/>
    <w:basedOn w:val="1"/>
    <w:qFormat/>
    <w:uiPriority w:val="0"/>
    <w:pPr>
      <w:spacing w:line="560" w:lineRule="atLeast"/>
      <w:jc w:val="center"/>
    </w:pPr>
    <w:rPr>
      <w:rFonts w:hint="eastAsia" w:ascii="pingfang sc" w:hAnsi="pingfang sc" w:eastAsia="pingfang sc" w:cs="Times New Roman"/>
      <w:kern w:val="0"/>
      <w:sz w:val="40"/>
      <w:szCs w:val="40"/>
    </w:rPr>
  </w:style>
  <w:style w:type="paragraph" w:customStyle="1" w:styleId="17">
    <w:name w:val="p4"/>
    <w:basedOn w:val="1"/>
    <w:qFormat/>
    <w:uiPriority w:val="0"/>
    <w:pPr>
      <w:spacing w:line="560" w:lineRule="atLeast"/>
    </w:pPr>
    <w:rPr>
      <w:rFonts w:ascii="Helvetica" w:hAnsi="Helvetica" w:eastAsia="Helvetica" w:cs="Times New Roman"/>
      <w:kern w:val="0"/>
      <w:sz w:val="32"/>
      <w:szCs w:val="32"/>
    </w:rPr>
  </w:style>
  <w:style w:type="paragraph" w:customStyle="1" w:styleId="18">
    <w:name w:val="p5"/>
    <w:basedOn w:val="1"/>
    <w:qFormat/>
    <w:uiPriority w:val="0"/>
    <w:pPr>
      <w:spacing w:line="560" w:lineRule="atLeast"/>
      <w:ind w:firstLine="640"/>
    </w:pPr>
    <w:rPr>
      <w:rFonts w:hint="eastAsia" w:ascii="pingfang sc" w:hAnsi="pingfang sc" w:eastAsia="pingfang sc" w:cs="Times New Roman"/>
      <w:kern w:val="0"/>
      <w:sz w:val="32"/>
      <w:szCs w:val="32"/>
    </w:rPr>
  </w:style>
  <w:style w:type="paragraph" w:customStyle="1" w:styleId="19">
    <w:name w:val="p6"/>
    <w:basedOn w:val="1"/>
    <w:qFormat/>
    <w:uiPriority w:val="0"/>
    <w:pPr>
      <w:spacing w:line="560" w:lineRule="atLeast"/>
      <w:ind w:firstLine="642"/>
    </w:pPr>
    <w:rPr>
      <w:rFonts w:ascii="pingfang sc" w:hAnsi="pingfang sc" w:eastAsia="pingfang sc" w:cs="Times New Roman"/>
      <w:kern w:val="0"/>
      <w:sz w:val="32"/>
      <w:szCs w:val="32"/>
    </w:rPr>
  </w:style>
  <w:style w:type="character" w:customStyle="1" w:styleId="20">
    <w:name w:val="s2"/>
    <w:basedOn w:val="9"/>
    <w:qFormat/>
    <w:uiPriority w:val="0"/>
    <w:rPr>
      <w:rFonts w:hint="eastAsia" w:ascii="pingfang sc" w:hAnsi="pingfang sc" w:eastAsia="pingfang sc" w:cs="pingfang sc"/>
      <w:sz w:val="21"/>
      <w:szCs w:val="21"/>
    </w:rPr>
  </w:style>
  <w:style w:type="paragraph" w:customStyle="1" w:styleId="21">
    <w:name w:val="p7"/>
    <w:basedOn w:val="1"/>
    <w:qFormat/>
    <w:uiPriority w:val="0"/>
    <w:pPr>
      <w:spacing w:line="560" w:lineRule="atLeast"/>
      <w:ind w:firstLine="640"/>
      <w:jc w:val="left"/>
    </w:pPr>
    <w:rPr>
      <w:rFonts w:hint="eastAsia" w:ascii="pingfang sc" w:hAnsi="pingfang sc" w:eastAsia="pingfang sc" w:cs="Times New Roman"/>
      <w:kern w:val="0"/>
      <w:sz w:val="32"/>
      <w:szCs w:val="32"/>
    </w:rPr>
  </w:style>
  <w:style w:type="character" w:customStyle="1" w:styleId="22">
    <w:name w:val="s1"/>
    <w:basedOn w:val="9"/>
    <w:qFormat/>
    <w:uiPriority w:val="0"/>
    <w:rPr>
      <w:rFonts w:hint="default" w:ascii="Helvetica" w:hAnsi="Helvetica" w:eastAsia="Helvetica" w:cs="Helvetica"/>
      <w:sz w:val="32"/>
      <w:szCs w:val="32"/>
    </w:rPr>
  </w:style>
  <w:style w:type="character" w:customStyle="1" w:styleId="23">
    <w:name w:val="c-icon28"/>
    <w:basedOn w:val="9"/>
    <w:qFormat/>
    <w:uiPriority w:val="0"/>
  </w:style>
  <w:style w:type="character" w:customStyle="1" w:styleId="24">
    <w:name w:val="hover25"/>
    <w:basedOn w:val="9"/>
    <w:qFormat/>
    <w:uiPriority w:val="0"/>
  </w:style>
  <w:style w:type="character" w:customStyle="1" w:styleId="25">
    <w:name w:val="hover26"/>
    <w:basedOn w:val="9"/>
    <w:qFormat/>
    <w:uiPriority w:val="0"/>
    <w:rPr>
      <w:color w:val="315EFB"/>
    </w:rPr>
  </w:style>
  <w:style w:type="character" w:customStyle="1" w:styleId="26">
    <w:name w:val="content-right_8zs401"/>
    <w:basedOn w:val="9"/>
    <w:qFormat/>
    <w:uiPriority w:val="0"/>
  </w:style>
  <w:style w:type="character" w:customStyle="1" w:styleId="27">
    <w:name w:val="hover20"/>
    <w:basedOn w:val="9"/>
    <w:qFormat/>
    <w:uiPriority w:val="0"/>
    <w:rPr>
      <w:color w:val="557EE7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486</Words>
  <Characters>2771</Characters>
  <Lines>23</Lines>
  <Paragraphs>6</Paragraphs>
  <TotalTime>17</TotalTime>
  <ScaleCrop>false</ScaleCrop>
  <LinksUpToDate>false</LinksUpToDate>
  <CharactersWithSpaces>3251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2022-08-16T05:45:00Z</dcterms:created>
  <dc:creator>ZHANGLEI</dc:creator>
  <cp:lastModifiedBy>董可青</cp:lastModifiedBy>
  <cp:lastPrinted>2022-08-23T02:10:00Z</cp:lastPrinted>
  <dcterms:modified xsi:type="dcterms:W3CDTF">2022-09-06T03:03:46Z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2861F128113047E49684B4D47D73FD97</vt:lpwstr>
  </property>
</Properties>
</file>